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rPr>
      </w:pPr>
      <w:r>
        <w:rPr>
          <w:sz w:val="32"/>
        </w:rPr>
        <w:t>Duties of the Radiation Safety Officer:</w:t>
      </w:r>
    </w:p>
    <w:p>
      <w:pPr>
        <w:pStyle w:val="Normal"/>
        <w:rPr>
          <w:sz w:val="32"/>
        </w:rPr>
      </w:pPr>
      <w:r>
        <w:rPr>
          <w:sz w:val="32"/>
        </w:rPr>
      </w:r>
    </w:p>
    <w:p>
      <w:pPr>
        <w:pStyle w:val="Normal"/>
        <w:rPr/>
      </w:pPr>
      <w:r>
        <w:rPr/>
      </w:r>
    </w:p>
    <w:p>
      <w:pPr>
        <w:pStyle w:val="Normal"/>
        <w:jc w:val="center"/>
        <w:rPr>
          <w:sz w:val="28"/>
        </w:rPr>
      </w:pPr>
      <w:r>
        <w:rPr>
          <w:sz w:val="28"/>
        </w:rPr>
        <w:t>Monthly Surveys:</w:t>
      </w:r>
    </w:p>
    <w:p>
      <w:pPr>
        <w:pStyle w:val="Normal"/>
        <w:rPr>
          <w:sz w:val="28"/>
        </w:rPr>
      </w:pPr>
      <w:r>
        <w:rPr>
          <w:sz w:val="28"/>
        </w:rPr>
      </w:r>
    </w:p>
    <w:p>
      <w:pPr>
        <w:pStyle w:val="Normal"/>
        <w:rPr/>
      </w:pPr>
      <w:r>
        <w:rPr/>
        <w:t>These are the most important.  A survey must be done each calendar month for both our lab (when chromium or tritium is present) and the shared radioactive bay.   Missing a month will lead to a ding on our safety report!</w:t>
      </w:r>
    </w:p>
    <w:p>
      <w:pPr>
        <w:pStyle w:val="Normal"/>
        <w:rPr/>
      </w:pPr>
      <w:r>
        <w:rPr/>
      </w:r>
    </w:p>
    <w:p>
      <w:pPr>
        <w:pStyle w:val="Normal"/>
        <w:rPr/>
      </w:pPr>
      <w:r>
        <w:rPr/>
        <w:t xml:space="preserve">32P – this can be detected using a Geiger counter with the ‘pancake’ probe.  The half life is 2 weeks.  </w:t>
      </w:r>
    </w:p>
    <w:p>
      <w:pPr>
        <w:pStyle w:val="Normal"/>
        <w:rPr/>
      </w:pPr>
      <w:r>
        <w:rPr/>
        <w:t>51Cr – also can be detected using a Geiger counter with the ‘pancake’ probe.  The half life is 3 weeks.</w:t>
      </w:r>
    </w:p>
    <w:p>
      <w:pPr>
        <w:pStyle w:val="Normal"/>
        <w:rPr/>
      </w:pPr>
      <w:r>
        <w:rPr/>
        <w:t>3H – This can only be detected using a swipe test.  The half life is a very long time…</w:t>
      </w:r>
    </w:p>
    <w:p>
      <w:pPr>
        <w:pStyle w:val="Normal"/>
        <w:rPr>
          <w:sz w:val="28"/>
        </w:rPr>
      </w:pPr>
      <w:r>
        <w:rPr>
          <w:sz w:val="28"/>
        </w:rPr>
      </w:r>
    </w:p>
    <w:p>
      <w:pPr>
        <w:pStyle w:val="Normal"/>
        <w:rPr>
          <w:sz w:val="28"/>
        </w:rPr>
      </w:pPr>
      <w:r>
        <w:rPr>
          <w:sz w:val="28"/>
        </w:rPr>
        <w:t>To survey our lab:</w:t>
      </w:r>
    </w:p>
    <w:p>
      <w:pPr>
        <w:pStyle w:val="Normal"/>
        <w:rPr/>
      </w:pPr>
      <w:r>
        <w:rPr/>
      </w:r>
    </w:p>
    <w:p>
      <w:pPr>
        <w:pStyle w:val="Normal"/>
        <w:rPr/>
      </w:pPr>
      <w:r>
        <w:rPr/>
        <w:t xml:space="preserve">Use the Geiger counter for the 51-Cr area.  If no Cr was used/ordered that month you can skip the survey and just fill in “no Cr for month of ___” on the survey sheet.  </w:t>
      </w:r>
    </w:p>
    <w:p>
      <w:pPr>
        <w:pStyle w:val="Normal"/>
        <w:rPr/>
      </w:pPr>
      <w:r>
        <w:rPr/>
      </w:r>
    </w:p>
    <w:p>
      <w:pPr>
        <w:pStyle w:val="Normal"/>
        <w:rPr/>
      </w:pPr>
      <w:r>
        <w:rPr/>
        <w:t xml:space="preserve">Swipe tests for 3H should be done in all places where the 3H is used or stored.  This often includes the Tissue culture hoods and the –20C freezer in TC.  Make sure to swipe something that 3H should never have come in contact with to see what your background is.  </w:t>
      </w:r>
    </w:p>
    <w:p>
      <w:pPr>
        <w:pStyle w:val="Normal"/>
        <w:rPr/>
      </w:pPr>
      <w:r>
        <w:rPr/>
      </w:r>
    </w:p>
    <w:p>
      <w:pPr>
        <w:pStyle w:val="Normal"/>
        <w:rPr>
          <w:sz w:val="28"/>
        </w:rPr>
      </w:pPr>
      <w:r>
        <w:rPr>
          <w:sz w:val="28"/>
        </w:rPr>
        <w:t>Monthly survey of the shared space:</w:t>
      </w:r>
    </w:p>
    <w:p>
      <w:pPr>
        <w:pStyle w:val="Normal"/>
        <w:rPr>
          <w:sz w:val="28"/>
        </w:rPr>
      </w:pPr>
      <w:r>
        <w:rPr>
          <w:sz w:val="28"/>
        </w:rPr>
      </w:r>
    </w:p>
    <w:p>
      <w:pPr>
        <w:pStyle w:val="Normal"/>
        <w:rPr/>
      </w:pPr>
      <w:r>
        <w:rPr/>
        <w:t>This involves carefully using the Geiger counter to go over all benches, sinks, etc.  of the shared radioactive area, as well as any other rooms (they are listed on the left-hand side of the survey sheet) where radioactivity is used.</w:t>
      </w:r>
    </w:p>
    <w:p>
      <w:pPr>
        <w:pStyle w:val="Normal"/>
        <w:rPr/>
      </w:pPr>
      <w:r>
        <w:rPr/>
      </w:r>
    </w:p>
    <w:p>
      <w:pPr>
        <w:pStyle w:val="Normal"/>
        <w:rPr/>
      </w:pPr>
      <w:r>
        <w:rPr/>
        <w:t>These duties are shared between our lab and the T. Johnson, R. Johnson and Niwa labs, which means this is only done 3X per year by us.  As of 05/07, Herve from the T. Johnson lab is coordinating these surveys.  When it is our lab’s turn to complete the survey, make copies for the other labs and leave them on the wall outside our TC room.  Make sure to have a copy from each month so that our safety binder is complete!</w:t>
      </w:r>
    </w:p>
    <w:p>
      <w:pPr>
        <w:pStyle w:val="Normal"/>
        <w:rPr/>
      </w:pPr>
      <w:r>
        <w:rPr/>
      </w:r>
    </w:p>
    <w:p>
      <w:pPr>
        <w:pStyle w:val="Normal"/>
        <w:jc w:val="center"/>
        <w:rPr>
          <w:sz w:val="28"/>
        </w:rPr>
      </w:pPr>
      <w:r>
        <w:rPr>
          <w:sz w:val="28"/>
        </w:rPr>
        <w:t>Swipe Test:</w:t>
      </w:r>
    </w:p>
    <w:p>
      <w:pPr>
        <w:pStyle w:val="Normal"/>
        <w:jc w:val="center"/>
        <w:rPr>
          <w:sz w:val="28"/>
        </w:rPr>
      </w:pPr>
      <w:r>
        <w:rPr>
          <w:sz w:val="28"/>
        </w:rPr>
      </w:r>
    </w:p>
    <w:p>
      <w:pPr>
        <w:pStyle w:val="Normal"/>
        <w:rPr/>
      </w:pPr>
      <w:r>
        <w:rPr/>
        <w:t xml:space="preserve">Simply cut up filter paper into ~ 1”x1” squares.  Wipe it over the surface of any areas to be tested and put it into a scintillation vial.  Add scintillation fluid until the paper is wet/mostly covered.  Take it to the scintillation counter and count.  </w:t>
      </w:r>
    </w:p>
    <w:p>
      <w:pPr>
        <w:pStyle w:val="Normal"/>
        <w:rPr/>
      </w:pPr>
      <w:r>
        <w:rPr/>
      </w:r>
    </w:p>
    <w:p>
      <w:pPr>
        <w:pStyle w:val="Normal"/>
        <w:rPr/>
      </w:pPr>
      <w:r>
        <w:rPr/>
      </w:r>
    </w:p>
    <w:p>
      <w:pPr>
        <w:pStyle w:val="Normal"/>
        <w:rPr/>
      </w:pPr>
      <w:r>
        <w:rPr/>
      </w:r>
    </w:p>
    <w:p>
      <w:pPr>
        <w:pStyle w:val="Normal"/>
        <w:jc w:val="center"/>
        <w:rPr>
          <w:sz w:val="28"/>
        </w:rPr>
      </w:pPr>
      <w:r>
        <w:rPr>
          <w:sz w:val="28"/>
        </w:rPr>
        <w:t>Using the Scintillation Counter:</w:t>
      </w:r>
    </w:p>
    <w:p>
      <w:pPr>
        <w:pStyle w:val="Normal"/>
        <w:rPr>
          <w:sz w:val="28"/>
        </w:rPr>
      </w:pPr>
      <w:r>
        <w:rPr>
          <w:sz w:val="28"/>
        </w:rPr>
      </w:r>
    </w:p>
    <w:p>
      <w:pPr>
        <w:pStyle w:val="Normal"/>
        <w:rPr/>
      </w:pPr>
      <w:r>
        <w:rPr/>
        <w:t xml:space="preserve">The scintillation vials to put your samples in are located in the cabinet to the left of the sink in the shared area.  Additional vials may be purchased from the chemical storehouse under Urey Hall.  </w:t>
      </w:r>
    </w:p>
    <w:p>
      <w:pPr>
        <w:pStyle w:val="Normal"/>
        <w:rPr/>
      </w:pPr>
      <w:r>
        <w:rPr/>
      </w:r>
    </w:p>
    <w:p>
      <w:pPr>
        <w:pStyle w:val="Normal"/>
        <w:rPr/>
      </w:pPr>
      <w:r>
        <w:rPr/>
        <w:t xml:space="preserve">When you have your samples ready, hit ‘main menu’ and select ‘count single rack’.  Then hit ‘select user program’.  Choose program 1 for swipe tests or program 5 for 32P.   Put your samples into a white rack hit ‘select’ then ‘start’.  Program 1 counts for 5 min/sample and program 5 for 1 min/sample, so plan your return time accordingly.  </w:t>
      </w:r>
    </w:p>
    <w:p>
      <w:pPr>
        <w:pStyle w:val="Normal"/>
        <w:rPr/>
      </w:pPr>
      <w:r>
        <w:rPr/>
      </w:r>
    </w:p>
    <w:p>
      <w:pPr>
        <w:pStyle w:val="Normal"/>
        <w:rPr/>
      </w:pPr>
      <w:r>
        <w:rPr/>
      </w:r>
    </w:p>
    <w:p>
      <w:pPr>
        <w:pStyle w:val="Normal"/>
        <w:jc w:val="center"/>
        <w:rPr>
          <w:sz w:val="28"/>
        </w:rPr>
      </w:pPr>
      <w:r>
        <w:rPr>
          <w:sz w:val="28"/>
        </w:rPr>
        <w:t>Geiger Counter Maintenance:</w:t>
      </w:r>
    </w:p>
    <w:p>
      <w:pPr>
        <w:pStyle w:val="Normal"/>
        <w:rPr>
          <w:sz w:val="28"/>
        </w:rPr>
      </w:pPr>
      <w:r>
        <w:rPr>
          <w:sz w:val="28"/>
        </w:rPr>
      </w:r>
    </w:p>
    <w:p>
      <w:pPr>
        <w:pStyle w:val="Normal"/>
        <w:rPr/>
      </w:pPr>
      <w:r>
        <w:rPr/>
        <w:t xml:space="preserve">The meter must be taken in annually to be calibrated.  Take it to the radioactivity pick-up location (see below) and EH&amp;S will take care of it.  This is where our meter should also go if it needs to be serviced.  </w:t>
      </w:r>
    </w:p>
    <w:p>
      <w:pPr>
        <w:pStyle w:val="Normal"/>
        <w:rPr/>
      </w:pPr>
      <w:r>
        <w:rPr/>
      </w:r>
    </w:p>
    <w:p>
      <w:pPr>
        <w:pStyle w:val="Normal"/>
        <w:jc w:val="center"/>
        <w:rPr>
          <w:sz w:val="28"/>
        </w:rPr>
      </w:pPr>
      <w:r>
        <w:rPr>
          <w:sz w:val="28"/>
        </w:rPr>
      </w:r>
    </w:p>
    <w:p>
      <w:pPr>
        <w:pStyle w:val="Normal"/>
        <w:jc w:val="center"/>
        <w:rPr>
          <w:sz w:val="28"/>
        </w:rPr>
      </w:pPr>
      <w:r>
        <w:rPr>
          <w:sz w:val="28"/>
        </w:rPr>
        <w:t>Waste Pickup:</w:t>
      </w:r>
    </w:p>
    <w:p>
      <w:pPr>
        <w:pStyle w:val="Normal"/>
        <w:rPr>
          <w:sz w:val="28"/>
        </w:rPr>
      </w:pPr>
      <w:r>
        <w:rPr>
          <w:sz w:val="28"/>
        </w:rPr>
      </w:r>
    </w:p>
    <w:p>
      <w:pPr>
        <w:pStyle w:val="Normal"/>
        <w:rPr/>
      </w:pPr>
      <w:r>
        <w:rPr/>
        <w:t xml:space="preserve">All waster should be kept separate ( i.e. 51 Cr waste does not belong with 32 P waste).  Also, dry waste is separate from liquid etc.  Once a bag/carboy of waste is started, it should have a tag on it complete with our waste generator number, the name of a contact person responsible for the waste, and what is inside.  Pick-ups are done by EH&amp;S first thing on Tuesday and Thursday mornings.  </w:t>
      </w:r>
    </w:p>
    <w:p>
      <w:pPr>
        <w:pStyle w:val="Normal"/>
        <w:rPr/>
      </w:pPr>
      <w:r>
        <w:rPr/>
      </w:r>
    </w:p>
    <w:p>
      <w:pPr>
        <w:pStyle w:val="Normal"/>
        <w:rPr/>
      </w:pPr>
      <w:r>
        <w:rPr/>
        <w:t>The URL for the waste pickup is:</w:t>
      </w:r>
    </w:p>
    <w:p>
      <w:pPr>
        <w:pStyle w:val="Normal"/>
        <w:rPr/>
      </w:pPr>
      <w:r>
        <w:rPr/>
        <w:t xml:space="preserve"> </w:t>
      </w:r>
      <w:hyperlink r:id="rId2">
        <w:r>
          <w:rPr>
            <w:rStyle w:val="InternetLink"/>
            <w:color w:val="000000"/>
          </w:rPr>
          <w:t>http://www-ehs.ucsd.edu/hazwaste/cgi-forms/collection_request.html</w:t>
        </w:r>
      </w:hyperlink>
    </w:p>
    <w:p>
      <w:pPr>
        <w:pStyle w:val="Normal"/>
        <w:rPr/>
      </w:pPr>
      <w:r>
        <w:rPr/>
      </w:r>
    </w:p>
    <w:p>
      <w:pPr>
        <w:pStyle w:val="Normal"/>
        <w:rPr/>
      </w:pPr>
      <w:r>
        <w:rPr/>
        <w:t xml:space="preserve">The other way to get to the waste pick-up form is to go to </w:t>
      </w:r>
      <w:hyperlink r:id="rId3">
        <w:r>
          <w:rPr>
            <w:rStyle w:val="InternetLink"/>
            <w:color w:val="000000"/>
          </w:rPr>
          <w:t>http://blink.ucsd.edu</w:t>
        </w:r>
      </w:hyperlink>
      <w:r>
        <w:rPr/>
        <w:t xml:space="preserve"> and go to the safety section.   Under radioactive safety choose “waste”.  In this section directions are given regarding collection of hazardous waste.  To schedule a pickup, click on the link to request a hazardous waste collection.   Fill out and submit the form!</w:t>
      </w:r>
    </w:p>
    <w:p>
      <w:pPr>
        <w:pStyle w:val="Normal"/>
        <w:rPr/>
      </w:pPr>
      <w:r>
        <w:rPr/>
      </w:r>
    </w:p>
    <w:p>
      <w:pPr>
        <w:pStyle w:val="Normal"/>
        <w:rPr/>
      </w:pPr>
      <w:r>
        <w:rPr/>
        <w:t xml:space="preserve">Once you have submitted the form, double check that dry waste and source vials are double-bagged and sealed off and that the lid is on the liquid waste.   Make sure all waste is fully labeled ( you can estimate the amount of waste to be picked up.  Something around 1 mCi is generally a good estimate).  </w:t>
      </w:r>
    </w:p>
    <w:p>
      <w:pPr>
        <w:pStyle w:val="Normal"/>
        <w:rPr/>
      </w:pPr>
      <w:r>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r>
    </w:p>
    <w:p>
      <w:pPr>
        <w:pStyle w:val="Normal"/>
        <w:jc w:val="center"/>
        <w:rPr>
          <w:sz w:val="28"/>
        </w:rPr>
      </w:pPr>
      <w:r>
        <w:rPr>
          <w:sz w:val="28"/>
        </w:rPr>
        <w:t>Radioactivity Ordering and Pick-up:</w:t>
      </w:r>
    </w:p>
    <w:p>
      <w:pPr>
        <w:pStyle w:val="Normal"/>
        <w:rPr>
          <w:sz w:val="28"/>
        </w:rPr>
      </w:pPr>
      <w:r>
        <w:rPr>
          <w:sz w:val="28"/>
        </w:rPr>
      </w:r>
    </w:p>
    <w:p>
      <w:pPr>
        <w:pStyle w:val="Normal"/>
        <w:rPr/>
      </w:pPr>
      <w:r>
        <w:rPr/>
        <w:t xml:space="preserve">To order radioactivity it is generally best to call in the order yourself (although if you enter it into the database then Andrea will order it,  but it will take an extra day).   See the order database for important numbers, etc.  </w:t>
      </w:r>
    </w:p>
    <w:p>
      <w:pPr>
        <w:pStyle w:val="Normal"/>
        <w:rPr/>
      </w:pPr>
      <w:r>
        <w:rPr/>
      </w:r>
    </w:p>
    <w:p>
      <w:pPr>
        <w:pStyle w:val="Normal"/>
        <w:rPr/>
      </w:pPr>
      <w:r>
        <w:rPr/>
        <w:t xml:space="preserve">Currently the EH&amp;S services lab delivers our radioactivity, but it usually doesn’t come until late in the day.  If you need it sooner, then it can be picked up at the EH&amp;S services lab at the address below. </w:t>
      </w:r>
    </w:p>
    <w:p>
      <w:pPr>
        <w:pStyle w:val="Normal"/>
        <w:rPr/>
      </w:pPr>
      <w:r>
        <w:rPr/>
      </w:r>
    </w:p>
    <w:p>
      <w:pPr>
        <w:pStyle w:val="Normal"/>
        <w:jc w:val="center"/>
        <w:rPr>
          <w:sz w:val="28"/>
        </w:rPr>
      </w:pPr>
      <w:r>
        <w:rPr>
          <w:sz w:val="28"/>
        </w:rPr>
      </w:r>
    </w:p>
    <w:p>
      <w:pPr>
        <w:pStyle w:val="Normal"/>
        <w:jc w:val="center"/>
        <w:rPr>
          <w:sz w:val="28"/>
        </w:rPr>
      </w:pPr>
      <w:r>
        <w:rPr>
          <w:sz w:val="28"/>
        </w:rPr>
        <w:t>Important Contact Info:</w:t>
      </w:r>
    </w:p>
    <w:p>
      <w:pPr>
        <w:pStyle w:val="Normal"/>
        <w:rPr>
          <w:sz w:val="28"/>
        </w:rPr>
      </w:pPr>
      <w:r>
        <w:rPr>
          <w:sz w:val="28"/>
        </w:rPr>
      </w:r>
    </w:p>
    <w:p>
      <w:pPr>
        <w:pStyle w:val="Normal"/>
        <w:rPr/>
      </w:pPr>
      <w:r>
        <w:rPr/>
        <w:t xml:space="preserve"> </w:t>
      </w:r>
    </w:p>
    <w:p>
      <w:pPr>
        <w:pStyle w:val="Normal"/>
        <w:rPr/>
      </w:pPr>
      <w:r>
        <w:rPr/>
      </w:r>
    </w:p>
    <w:p>
      <w:pPr>
        <w:pStyle w:val="Normal"/>
        <w:widowControl w:val="false"/>
        <w:tabs>
          <w:tab w:val="clear" w:pos="720"/>
          <w:tab w:val="right" w:pos="80" w:leader="none"/>
          <w:tab w:val="left" w:pos="240" w:leader="none"/>
        </w:tabs>
        <w:autoSpaceDE w:val="false"/>
        <w:ind w:left="240" w:hanging="240"/>
        <w:rPr/>
      </w:pPr>
      <w:r>
        <w:rPr>
          <w:rFonts w:eastAsia="Times New Roman" w:cs="ArialMT;Times" w:ascii="ArialMT;Times" w:hAnsi="ArialMT;Times"/>
        </w:rPr>
        <w:tab/>
        <w:t xml:space="preserve">• </w:t>
        <w:tab/>
      </w:r>
      <w:r>
        <w:rPr>
          <w:rFonts w:eastAsia="Times New Roman" w:cs="Arial-BoldMT;Times" w:ascii="Arial-BoldMT;Times" w:hAnsi="Arial-BoldMT;Times"/>
          <w:b/>
          <w:sz w:val="28"/>
        </w:rPr>
        <w:t>EH&amp;S Services Lab</w:t>
      </w:r>
      <w:r>
        <w:rPr>
          <w:rFonts w:eastAsia="Times New Roman" w:cs="Arial-BoldMT;Times" w:ascii="Arial-BoldMT;Times" w:hAnsi="Arial-BoldMT;Times"/>
          <w:b/>
        </w:rPr>
        <w:t>,</w:t>
      </w:r>
      <w:r>
        <w:rPr>
          <w:rFonts w:eastAsia="Times New Roman" w:cs="ArialMT;Times" w:ascii="ArialMT;Times" w:hAnsi="ArialMT;Times"/>
        </w:rPr>
        <w:t xml:space="preserve"> University Center 301-B</w:t>
      </w:r>
    </w:p>
    <w:p>
      <w:pPr>
        <w:pStyle w:val="Normal"/>
        <w:widowControl w:val="false"/>
        <w:tabs>
          <w:tab w:val="clear" w:pos="720"/>
          <w:tab w:val="right" w:pos="80" w:leader="none"/>
          <w:tab w:val="left" w:pos="240" w:leader="none"/>
        </w:tabs>
        <w:autoSpaceDE w:val="false"/>
        <w:ind w:left="240" w:hanging="240"/>
        <w:rPr>
          <w:rFonts w:ascii="ArialMT;Times" w:hAnsi="ArialMT;Times" w:eastAsia="Times New Roman" w:cs="ArialMT;Times"/>
        </w:rPr>
      </w:pPr>
      <w:r>
        <w:rPr>
          <w:rFonts w:eastAsia="Times New Roman" w:cs="ArialMT;Times" w:ascii="ArialMT;Times" w:hAnsi="ArialMT;Times"/>
        </w:rPr>
        <w:tab/>
        <w:tab/>
        <w:t>- Mail Code: 0035</w:t>
      </w:r>
    </w:p>
    <w:p>
      <w:pPr>
        <w:pStyle w:val="Normal"/>
        <w:widowControl w:val="false"/>
        <w:tabs>
          <w:tab w:val="clear" w:pos="720"/>
          <w:tab w:val="right" w:pos="80" w:leader="none"/>
          <w:tab w:val="left" w:pos="240" w:leader="none"/>
        </w:tabs>
        <w:autoSpaceDE w:val="false"/>
        <w:ind w:left="240" w:hanging="240"/>
        <w:rPr>
          <w:rFonts w:ascii="ArialMT;Times" w:hAnsi="ArialMT;Times" w:eastAsia="Times New Roman" w:cs="ArialMT;Times"/>
        </w:rPr>
      </w:pPr>
      <w:r>
        <w:rPr>
          <w:rFonts w:eastAsia="Times New Roman" w:cs="ArialMT;Times" w:ascii="ArialMT;Times" w:hAnsi="ArialMT;Times"/>
        </w:rPr>
        <w:tab/>
        <w:tab/>
        <w:t>- Phone: (858) 534-6418</w:t>
      </w:r>
    </w:p>
    <w:p>
      <w:pPr>
        <w:pStyle w:val="Normal"/>
        <w:widowControl w:val="false"/>
        <w:tabs>
          <w:tab w:val="clear" w:pos="720"/>
          <w:tab w:val="right" w:pos="80" w:leader="none"/>
          <w:tab w:val="left" w:pos="240" w:leader="none"/>
        </w:tabs>
        <w:autoSpaceDE w:val="false"/>
        <w:ind w:left="240" w:hanging="240"/>
        <w:rPr>
          <w:rFonts w:ascii="ArialMT;Times" w:hAnsi="ArialMT;Times" w:eastAsia="Times New Roman" w:cs="ArialMT;Times"/>
        </w:rPr>
      </w:pPr>
      <w:r>
        <w:rPr>
          <w:rFonts w:eastAsia="Times New Roman" w:cs="ArialMT;Times" w:ascii="ArialMT;Times" w:hAnsi="ArialMT;Times"/>
        </w:rPr>
        <w:tab/>
        <w:tab/>
        <w:t>- Fax: (858) 822-5524</w:t>
      </w:r>
    </w:p>
    <w:p>
      <w:pPr>
        <w:pStyle w:val="Normal"/>
        <w:widowControl w:val="false"/>
        <w:tabs>
          <w:tab w:val="clear" w:pos="720"/>
          <w:tab w:val="right" w:pos="80" w:leader="none"/>
          <w:tab w:val="left" w:pos="240" w:leader="none"/>
        </w:tabs>
        <w:autoSpaceDE w:val="false"/>
        <w:ind w:left="240" w:hanging="240"/>
        <w:rPr/>
      </w:pPr>
      <w:r>
        <w:rPr>
          <w:rFonts w:eastAsia="Times New Roman" w:cs="ArialMT;Times" w:ascii="ArialMT;Times" w:hAnsi="ArialMT;Times"/>
        </w:rPr>
        <w:tab/>
        <w:t xml:space="preserve">• </w:t>
      </w:r>
      <w:r>
        <w:rPr>
          <w:rFonts w:eastAsia="Times New Roman" w:cs="ArialMT;Times" w:ascii="ArialMT;Times" w:hAnsi="ArialMT;Times"/>
          <w:sz w:val="28"/>
        </w:rPr>
        <w:tab/>
      </w:r>
      <w:hyperlink r:id="rId4">
        <w:r>
          <w:rPr>
            <w:rStyle w:val="InternetLink"/>
            <w:rFonts w:eastAsia="Times New Roman" w:cs="Arial-BoldMT;Times" w:ascii="Arial-BoldMT;Times" w:hAnsi="Arial-BoldMT;Times"/>
            <w:b/>
            <w:sz w:val="28"/>
          </w:rPr>
          <w:t>Hazardous Materials Spill</w:t>
        </w:r>
      </w:hyperlink>
      <w:r>
        <w:rPr>
          <w:rFonts w:eastAsia="Times New Roman" w:cs="ArialMT;Times" w:ascii="ArialMT;Times" w:hAnsi="ArialMT;Times"/>
        </w:rPr>
        <w:t xml:space="preserve"> </w:t>
      </w:r>
    </w:p>
    <w:p>
      <w:pPr>
        <w:pStyle w:val="Normal"/>
        <w:widowControl w:val="false"/>
        <w:tabs>
          <w:tab w:val="clear" w:pos="720"/>
          <w:tab w:val="right" w:pos="80" w:leader="none"/>
          <w:tab w:val="left" w:pos="240" w:leader="none"/>
        </w:tabs>
        <w:autoSpaceDE w:val="false"/>
        <w:ind w:left="240" w:hanging="240"/>
        <w:rPr/>
      </w:pPr>
      <w:r>
        <w:rPr>
          <w:rFonts w:eastAsia="Times New Roman" w:cs="ArialMT;Times" w:ascii="ArialMT;Times" w:hAnsi="ArialMT;Times"/>
        </w:rPr>
        <w:tab/>
        <w:tab/>
        <w:t xml:space="preserve"> - </w:t>
      </w:r>
      <w:r>
        <w:rPr>
          <w:rFonts w:eastAsia="Times New Roman" w:cs="Arial-BoldMT;Times" w:ascii="Arial-BoldMT;Times" w:hAnsi="Arial-BoldMT;Times"/>
          <w:b/>
        </w:rPr>
        <w:t>Environment, Health &amp; Safety:</w:t>
      </w:r>
    </w:p>
    <w:p>
      <w:pPr>
        <w:pStyle w:val="Normal"/>
        <w:widowControl w:val="false"/>
        <w:tabs>
          <w:tab w:val="clear" w:pos="720"/>
          <w:tab w:val="right" w:pos="80" w:leader="none"/>
          <w:tab w:val="left" w:pos="240" w:leader="none"/>
        </w:tabs>
        <w:autoSpaceDE w:val="false"/>
        <w:ind w:left="240" w:hanging="240"/>
        <w:rPr>
          <w:rFonts w:ascii="ArialMT;Times" w:hAnsi="ArialMT;Times" w:eastAsia="Times New Roman" w:cs="ArialMT;Times"/>
        </w:rPr>
      </w:pPr>
      <w:r>
        <w:rPr>
          <w:rFonts w:eastAsia="Times New Roman" w:cs="ArialMT;Times" w:ascii="ArialMT;Times" w:hAnsi="ArialMT;Times"/>
        </w:rPr>
        <w:tab/>
        <w:tab/>
        <w:t xml:space="preserve">   (858) 534-3660   weekdays, 8 a.m. – 4:30 p.m.</w:t>
      </w:r>
    </w:p>
    <w:p>
      <w:pPr>
        <w:pStyle w:val="Normal"/>
        <w:widowControl w:val="false"/>
        <w:tabs>
          <w:tab w:val="clear" w:pos="720"/>
          <w:tab w:val="right" w:pos="80" w:leader="none"/>
          <w:tab w:val="left" w:pos="240" w:leader="none"/>
        </w:tabs>
        <w:autoSpaceDE w:val="false"/>
        <w:ind w:left="240" w:hanging="0"/>
        <w:rPr/>
      </w:pPr>
      <w:r>
        <w:rPr>
          <w:rFonts w:eastAsia="Arial-BoldMT;Times" w:cs="Arial-BoldMT;Times" w:ascii="Arial-BoldMT;Times" w:hAnsi="Arial-BoldMT;Times"/>
          <w:b/>
        </w:rPr>
        <w:t xml:space="preserve"> </w:t>
      </w:r>
      <w:r>
        <w:rPr>
          <w:rFonts w:eastAsia="Times New Roman" w:cs="Arial-BoldMT;Times" w:ascii="Arial-BoldMT;Times" w:hAnsi="Arial-BoldMT;Times"/>
          <w:b/>
        </w:rPr>
        <w:t>- Campus Police:</w:t>
      </w:r>
      <w:r>
        <w:rPr>
          <w:rFonts w:eastAsia="Times New Roman" w:cs="ArialMT;Times" w:ascii="ArialMT;Times" w:hAnsi="ArialMT;Times"/>
        </w:rPr>
        <w:t xml:space="preserve"> </w:t>
      </w:r>
    </w:p>
    <w:p>
      <w:pPr>
        <w:pStyle w:val="Normal"/>
        <w:widowControl w:val="false"/>
        <w:tabs>
          <w:tab w:val="clear" w:pos="720"/>
          <w:tab w:val="right" w:pos="80" w:leader="none"/>
          <w:tab w:val="left" w:pos="240" w:leader="none"/>
        </w:tabs>
        <w:autoSpaceDE w:val="false"/>
        <w:ind w:left="240" w:hanging="0"/>
        <w:rPr/>
      </w:pPr>
      <w:r>
        <w:rPr>
          <w:rFonts w:eastAsia="ArialMT;Times" w:cs="ArialMT;Times" w:ascii="ArialMT;Times" w:hAnsi="ArialMT;Times"/>
        </w:rPr>
        <w:t xml:space="preserve">   </w:t>
      </w:r>
      <w:r>
        <w:rPr>
          <w:rFonts w:eastAsia="Times New Roman" w:cs="ArialMT;Times" w:ascii="ArialMT;Times" w:hAnsi="ArialMT;Times"/>
        </w:rPr>
        <w:t>(858) 534-4357 evenings and weekends</w:t>
      </w:r>
      <w:r>
        <w:rPr/>
        <w:t xml:space="preserve"> </w:t>
      </w:r>
    </w:p>
    <w:p>
      <w:pPr>
        <w:pStyle w:val="Normal"/>
        <w:rPr/>
      </w:pPr>
      <w:r>
        <w:rPr/>
      </w:r>
    </w:p>
    <w:p>
      <w:pPr>
        <w:pStyle w:val="Normal"/>
        <w:rPr/>
      </w:pPr>
      <w:r>
        <w:rPr/>
      </w:r>
    </w:p>
    <w:p>
      <w:pPr>
        <w:pStyle w:val="Normal"/>
        <w:rPr/>
      </w:pPr>
      <w:r>
        <w:rPr/>
        <w:t xml:space="preserve">The radioactivity section on Blink is full of good information regarding all aspects of use.  I would strongly recommend any frequent user to look through it.  </w:t>
      </w:r>
    </w:p>
    <w:p>
      <w:pPr>
        <w:pStyle w:val="Normal"/>
        <w:rPr/>
      </w:pPr>
      <w:r>
        <w:rPr/>
      </w:r>
    </w:p>
    <w:p>
      <w:pPr>
        <w:pStyle w:val="Normal"/>
        <w:rPr>
          <w:sz w:val="28"/>
        </w:rPr>
      </w:pPr>
      <w:r>
        <w:rPr>
          <w:sz w:val="28"/>
        </w:rPr>
      </w:r>
    </w:p>
    <w:p>
      <w:pPr>
        <w:pStyle w:val="Normal"/>
        <w:rPr>
          <w:sz w:val="28"/>
        </w:rPr>
      </w:pPr>
      <w:r>
        <w:rPr>
          <w:sz w:val="28"/>
        </w:rPr>
        <w:t>RUA: 1129</w:t>
      </w:r>
    </w:p>
    <w:p>
      <w:pPr>
        <w:pStyle w:val="Normal"/>
        <w:rPr>
          <w:sz w:val="28"/>
        </w:rPr>
      </w:pPr>
      <w:r>
        <w:rPr>
          <w:sz w:val="28"/>
        </w:rPr>
        <w:t>WGN:  832</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auto"/>
    <w:pitch w:val="variable"/>
  </w:font>
  <w:font w:name="Courier New">
    <w:charset w:val="00"/>
    <w:family w:val="auto"/>
    <w:pitch w:val="variable"/>
  </w:font>
  <w:font w:name="Wingdings">
    <w:charset w:val="02"/>
    <w:family w:val="auto"/>
    <w:pitch w:val="variable"/>
  </w:font>
  <w:font w:name="Symbol">
    <w:charset w:val="02"/>
    <w:family w:val="auto"/>
    <w:pitch w:val="variable"/>
  </w:font>
  <w:font w:name="Liberation Sans">
    <w:altName w:val="Arial"/>
    <w:charset w:val="01"/>
    <w:family w:val="swiss"/>
    <w:pitch w:val="variable"/>
  </w:font>
  <w:font w:name="ArialMT">
    <w:altName w:val="Times"/>
    <w:charset w:val="4d"/>
    <w:family w:val="swiss"/>
    <w:pitch w:val="default"/>
  </w:font>
  <w:font w:name="Arial-BoldMT">
    <w:altName w:val="Times"/>
    <w:charset w:val="4d"/>
    <w:family w:val="swiss"/>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en-US" w:eastAsia="zh-CN" w:bidi="hi-I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InternetLink">
    <w:name w:val="Hyperlink"/>
    <w:basedOn w:val="DefaultParagraphFon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hs.ucsd.edu/hazwaste/cgi-forms/collection_request.html" TargetMode="External"/><Relationship Id="rId3" Type="http://schemas.openxmlformats.org/officeDocument/2006/relationships/hyperlink" Target="http://blink.ucsd.edu/" TargetMode="External"/><Relationship Id="rId4" Type="http://schemas.openxmlformats.org/officeDocument/2006/relationships/hyperlink" Target="http://blink.ucsd.edu/Blink/External/Topics/Policy/0,1162,13363,00.html?coming_from=Content" TargetMode="Externa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123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2007-05-03T15:34:00Z</dcterms:created>
  <dc:creator>Ananda Goldrath</dc:creator>
  <dc:description/>
  <dc:language>en-US</dc:language>
  <cp:lastModifiedBy>Ananda Goldrath</cp:lastModifiedBy>
  <cp:lastPrinted>2007-05-03T18:18:00Z</cp:lastPrinted>
  <dcterms:modified xsi:type="dcterms:W3CDTF">2007-05-03T18:18:00Z</dcterms:modified>
  <cp:revision>1</cp:revision>
  <dc:subject/>
  <dc:title>Duties of the Radiation Safety Officer:</dc:title>
</cp:coreProperties>
</file>