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7F871B" w14:textId="641F07B8" w:rsidR="00AD7044" w:rsidRDefault="00AD7044" w:rsidP="00AD7044">
      <w:pPr>
        <w:rPr>
          <w:rFonts w:ascii="Arial" w:hAnsi="Arial" w:cs="Arial"/>
          <w:b/>
          <w:bCs/>
          <w:sz w:val="20"/>
          <w:szCs w:val="20"/>
        </w:rPr>
      </w:pPr>
      <w:r w:rsidRPr="00AD7044">
        <w:rPr>
          <w:rFonts w:ascii="Arial" w:hAnsi="Arial" w:cs="Arial"/>
          <w:b/>
          <w:bCs/>
          <w:sz w:val="20"/>
          <w:szCs w:val="20"/>
        </w:rPr>
        <w:t>PROCEDURE</w:t>
      </w:r>
      <w:r w:rsidRPr="00AD7044">
        <w:rPr>
          <w:rFonts w:ascii="Arial" w:hAnsi="Arial" w:cs="Arial"/>
          <w:b/>
          <w:bCs/>
          <w:sz w:val="20"/>
          <w:szCs w:val="20"/>
        </w:rPr>
        <w:t xml:space="preserve">: </w:t>
      </w:r>
      <w:r w:rsidRPr="00AD7044">
        <w:rPr>
          <w:rFonts w:ascii="Arial" w:hAnsi="Arial" w:cs="Arial"/>
          <w:b/>
          <w:bCs/>
          <w:sz w:val="20"/>
          <w:szCs w:val="20"/>
        </w:rPr>
        <w:t>Orthotopic</w:t>
      </w:r>
      <w:r w:rsidRPr="00AD7044">
        <w:rPr>
          <w:rFonts w:ascii="Arial" w:hAnsi="Arial" w:cs="Arial"/>
          <w:b/>
          <w:bCs/>
          <w:sz w:val="20"/>
          <w:szCs w:val="20"/>
        </w:rPr>
        <w:t xml:space="preserve"> </w:t>
      </w:r>
      <w:r w:rsidRPr="00AD7044">
        <w:rPr>
          <w:rFonts w:ascii="Arial" w:hAnsi="Arial" w:cs="Arial"/>
          <w:b/>
          <w:bCs/>
          <w:sz w:val="20"/>
          <w:szCs w:val="20"/>
        </w:rPr>
        <w:t>implantation</w:t>
      </w:r>
      <w:r>
        <w:rPr>
          <w:rFonts w:ascii="Arial" w:hAnsi="Arial" w:cs="Arial"/>
          <w:b/>
          <w:bCs/>
          <w:sz w:val="20"/>
          <w:szCs w:val="20"/>
        </w:rPr>
        <w:t xml:space="preserve"> into the Caecum wall</w:t>
      </w:r>
    </w:p>
    <w:p w14:paraId="1577F942" w14:textId="77777777" w:rsidR="00AD7044" w:rsidRPr="00AD7044" w:rsidRDefault="00AD7044" w:rsidP="00AD7044">
      <w:pPr>
        <w:rPr>
          <w:rFonts w:ascii="Arial" w:hAnsi="Arial" w:cs="Arial"/>
          <w:b/>
          <w:bCs/>
          <w:sz w:val="20"/>
          <w:szCs w:val="20"/>
        </w:rPr>
      </w:pPr>
    </w:p>
    <w:p w14:paraId="6051A910" w14:textId="2C7E9852" w:rsidR="00AD7044" w:rsidRPr="00AD7044" w:rsidRDefault="00AD7044" w:rsidP="00AD7044">
      <w:pPr>
        <w:rPr>
          <w:rFonts w:ascii="Arial" w:hAnsi="Arial" w:cs="Arial"/>
          <w:sz w:val="20"/>
          <w:szCs w:val="20"/>
        </w:rPr>
      </w:pPr>
      <w:r w:rsidRPr="00AD7044">
        <w:rPr>
          <w:rFonts w:ascii="Arial" w:hAnsi="Arial" w:cs="Arial"/>
          <w:sz w:val="20"/>
          <w:szCs w:val="20"/>
        </w:rPr>
        <w:t>We will use an orthotopic</w:t>
      </w:r>
      <w:r>
        <w:rPr>
          <w:rFonts w:ascii="Arial" w:hAnsi="Arial" w:cs="Arial"/>
          <w:sz w:val="20"/>
          <w:szCs w:val="20"/>
        </w:rPr>
        <w:t xml:space="preserve"> </w:t>
      </w:r>
      <w:r w:rsidRPr="00AD7044">
        <w:rPr>
          <w:rFonts w:ascii="Arial" w:hAnsi="Arial" w:cs="Arial"/>
          <w:sz w:val="20"/>
          <w:szCs w:val="20"/>
        </w:rPr>
        <w:t xml:space="preserve">implantation model for colon that requires implantation of colon cancer cells into the cecum of mice, as described by </w:t>
      </w:r>
      <w:proofErr w:type="spellStart"/>
      <w:r w:rsidRPr="00AD7044">
        <w:rPr>
          <w:rFonts w:ascii="Arial" w:hAnsi="Arial" w:cs="Arial"/>
          <w:sz w:val="20"/>
          <w:szCs w:val="20"/>
        </w:rPr>
        <w:t>Céspedes</w:t>
      </w:r>
      <w:proofErr w:type="spellEnd"/>
      <w:r w:rsidRPr="00AD7044">
        <w:rPr>
          <w:rFonts w:ascii="Arial" w:hAnsi="Arial" w:cs="Arial"/>
          <w:sz w:val="20"/>
          <w:szCs w:val="20"/>
        </w:rPr>
        <w:t xml:space="preserve"> MV et al., 2007. (See Orthotopic microinjection of human colon cancer cells in nude mice induces tumor foci in all clinically relevant</w:t>
      </w:r>
      <w:r>
        <w:rPr>
          <w:rFonts w:ascii="Arial" w:hAnsi="Arial" w:cs="Arial"/>
          <w:sz w:val="20"/>
          <w:szCs w:val="20"/>
        </w:rPr>
        <w:t xml:space="preserve"> </w:t>
      </w:r>
      <w:r w:rsidRPr="00AD7044">
        <w:rPr>
          <w:rFonts w:ascii="Arial" w:hAnsi="Arial" w:cs="Arial"/>
          <w:sz w:val="20"/>
          <w:szCs w:val="20"/>
        </w:rPr>
        <w:t>metastatic sites</w:t>
      </w:r>
      <w:r>
        <w:rPr>
          <w:rFonts w:ascii="Arial" w:hAnsi="Arial" w:cs="Arial"/>
          <w:sz w:val="20"/>
          <w:szCs w:val="20"/>
        </w:rPr>
        <w:t xml:space="preserve">, </w:t>
      </w:r>
      <w:r w:rsidRPr="00AD7044">
        <w:rPr>
          <w:rFonts w:ascii="Arial" w:hAnsi="Arial" w:cs="Arial"/>
          <w:sz w:val="20"/>
          <w:szCs w:val="20"/>
        </w:rPr>
        <w:t xml:space="preserve">Am J </w:t>
      </w:r>
      <w:proofErr w:type="spellStart"/>
      <w:r w:rsidRPr="00AD7044">
        <w:rPr>
          <w:rFonts w:ascii="Arial" w:hAnsi="Arial" w:cs="Arial"/>
          <w:sz w:val="20"/>
          <w:szCs w:val="20"/>
        </w:rPr>
        <w:t>Pathol</w:t>
      </w:r>
      <w:proofErr w:type="spellEnd"/>
      <w:r w:rsidRPr="00AD7044">
        <w:rPr>
          <w:rFonts w:ascii="Arial" w:hAnsi="Arial" w:cs="Arial"/>
          <w:sz w:val="20"/>
          <w:szCs w:val="20"/>
        </w:rPr>
        <w:t xml:space="preserve">. 2007 Mar;170(3):1077-85.). We would like to evaluate how direct orthotopic cell microinjection, between the mucosa and the muscularis layers of the </w:t>
      </w:r>
      <w:proofErr w:type="spellStart"/>
      <w:r w:rsidRPr="00AD7044">
        <w:rPr>
          <w:rFonts w:ascii="Arial" w:hAnsi="Arial" w:cs="Arial"/>
          <w:sz w:val="20"/>
          <w:szCs w:val="20"/>
        </w:rPr>
        <w:t>cecal</w:t>
      </w:r>
      <w:proofErr w:type="spellEnd"/>
      <w:r w:rsidRPr="00AD7044">
        <w:rPr>
          <w:rFonts w:ascii="Arial" w:hAnsi="Arial" w:cs="Arial"/>
          <w:sz w:val="20"/>
          <w:szCs w:val="20"/>
        </w:rPr>
        <w:t xml:space="preserve"> wall of mice, drives tumor foci to the most relevant metastatic sites</w:t>
      </w:r>
      <w:r>
        <w:rPr>
          <w:rFonts w:ascii="Arial" w:hAnsi="Arial" w:cs="Arial"/>
          <w:sz w:val="20"/>
          <w:szCs w:val="20"/>
        </w:rPr>
        <w:t xml:space="preserve"> and impacts the immune response.</w:t>
      </w:r>
    </w:p>
    <w:p w14:paraId="37CFBA75" w14:textId="77777777" w:rsidR="00AD7044" w:rsidRPr="00AD7044" w:rsidRDefault="00AD7044" w:rsidP="00AD7044">
      <w:pPr>
        <w:rPr>
          <w:rFonts w:ascii="Arial" w:hAnsi="Arial" w:cs="Arial"/>
          <w:sz w:val="20"/>
          <w:szCs w:val="20"/>
        </w:rPr>
      </w:pPr>
    </w:p>
    <w:p w14:paraId="0D81926C" w14:textId="77777777" w:rsidR="00AD7044" w:rsidRDefault="00AD7044" w:rsidP="00AD7044">
      <w:pPr>
        <w:rPr>
          <w:rFonts w:ascii="Arial" w:hAnsi="Arial" w:cs="Arial"/>
          <w:sz w:val="20"/>
          <w:szCs w:val="20"/>
        </w:rPr>
      </w:pPr>
      <w:r w:rsidRPr="00AD7044">
        <w:rPr>
          <w:rFonts w:ascii="Arial" w:hAnsi="Arial" w:cs="Arial"/>
          <w:sz w:val="20"/>
          <w:szCs w:val="20"/>
        </w:rPr>
        <w:t>Summary: Mouse colon</w:t>
      </w:r>
      <w:r>
        <w:rPr>
          <w:rFonts w:ascii="Arial" w:hAnsi="Arial" w:cs="Arial"/>
          <w:sz w:val="20"/>
          <w:szCs w:val="20"/>
        </w:rPr>
        <w:t xml:space="preserve"> </w:t>
      </w:r>
      <w:r w:rsidRPr="00AD7044">
        <w:rPr>
          <w:rFonts w:ascii="Arial" w:hAnsi="Arial" w:cs="Arial"/>
          <w:sz w:val="20"/>
          <w:szCs w:val="20"/>
        </w:rPr>
        <w:t>cancer cells (e.g., MC-38 cells) will be grown to confluence using standard aseptic cell culture technique, harvested for injection, and resuspended in serum-free DMEM at a concentration of 4 x 10^7 cells/</w:t>
      </w:r>
      <w:proofErr w:type="spellStart"/>
      <w:r w:rsidRPr="00AD7044">
        <w:rPr>
          <w:rFonts w:ascii="Arial" w:hAnsi="Arial" w:cs="Arial"/>
          <w:sz w:val="20"/>
          <w:szCs w:val="20"/>
        </w:rPr>
        <w:t>mL.</w:t>
      </w:r>
      <w:proofErr w:type="spellEnd"/>
      <w:r w:rsidRPr="00AD7044">
        <w:rPr>
          <w:rFonts w:ascii="Arial" w:hAnsi="Arial" w:cs="Arial"/>
          <w:sz w:val="20"/>
          <w:szCs w:val="20"/>
        </w:rPr>
        <w:t xml:space="preserve"> Mice will be anesthetized with ketamine/xylazine, prepared in a sterile fashion, and the cecum will be exteriorized through a middle abdominal incision. 2 x 10^6 cells in 50μl will be slowly injected into the cecum wall between the mucosa and the muscularis layers through a 250-um diameter </w:t>
      </w:r>
      <w:proofErr w:type="spellStart"/>
      <w:r w:rsidRPr="00AD7044">
        <w:rPr>
          <w:rFonts w:ascii="Arial" w:hAnsi="Arial" w:cs="Arial"/>
          <w:sz w:val="20"/>
          <w:szCs w:val="20"/>
        </w:rPr>
        <w:t>micropippette</w:t>
      </w:r>
      <w:proofErr w:type="spellEnd"/>
      <w:r w:rsidRPr="00AD7044">
        <w:rPr>
          <w:rFonts w:ascii="Arial" w:hAnsi="Arial" w:cs="Arial"/>
          <w:sz w:val="20"/>
          <w:szCs w:val="20"/>
        </w:rPr>
        <w:t>. Animals will be euthanized after 90 days, or when they appear lethargic, whichever occurs first</w:t>
      </w:r>
      <w:r>
        <w:rPr>
          <w:rFonts w:ascii="Arial" w:hAnsi="Arial" w:cs="Arial"/>
          <w:sz w:val="20"/>
          <w:szCs w:val="20"/>
        </w:rPr>
        <w:t>.</w:t>
      </w:r>
    </w:p>
    <w:p w14:paraId="6E422499" w14:textId="77777777" w:rsidR="00AD7044" w:rsidRDefault="00AD7044" w:rsidP="00AD7044">
      <w:pPr>
        <w:rPr>
          <w:rFonts w:ascii="Arial" w:hAnsi="Arial" w:cs="Arial"/>
          <w:sz w:val="20"/>
          <w:szCs w:val="20"/>
        </w:rPr>
      </w:pPr>
    </w:p>
    <w:p w14:paraId="43A69C82" w14:textId="3EDAE2F8" w:rsidR="00AD7044" w:rsidRPr="00AD7044" w:rsidRDefault="00AD7044" w:rsidP="00AD7044">
      <w:pPr>
        <w:rPr>
          <w:rFonts w:ascii="Arial" w:hAnsi="Arial" w:cs="Arial"/>
          <w:b/>
          <w:bCs/>
          <w:sz w:val="20"/>
          <w:szCs w:val="20"/>
        </w:rPr>
      </w:pPr>
      <w:r w:rsidRPr="00AD7044">
        <w:rPr>
          <w:rFonts w:ascii="Arial" w:hAnsi="Arial" w:cs="Arial"/>
          <w:b/>
          <w:bCs/>
          <w:sz w:val="20"/>
          <w:szCs w:val="20"/>
        </w:rPr>
        <w:t>Cecum injection:</w:t>
      </w:r>
    </w:p>
    <w:p w14:paraId="17EE116C" w14:textId="77777777" w:rsidR="00AD7044" w:rsidRDefault="00AD7044" w:rsidP="00AD7044">
      <w:pPr>
        <w:rPr>
          <w:rFonts w:ascii="Arial" w:hAnsi="Arial" w:cs="Arial"/>
          <w:sz w:val="20"/>
          <w:szCs w:val="20"/>
        </w:rPr>
      </w:pPr>
      <w:r w:rsidRPr="00AD7044">
        <w:rPr>
          <w:rFonts w:ascii="Arial" w:hAnsi="Arial" w:cs="Arial"/>
          <w:sz w:val="20"/>
          <w:szCs w:val="20"/>
        </w:rPr>
        <w:t>a) Ketamine (100 mg/kg) / Xylazine (10 mg/kg) combination will be administered via intraperitoneal injection. Depth of anesthesia will be confirmed by verifying an absence of response to ear, toe, and/or tail pinch.</w:t>
      </w:r>
    </w:p>
    <w:p w14:paraId="23BF26E1" w14:textId="0FA6430E" w:rsidR="00AD7044" w:rsidRPr="00AD7044" w:rsidRDefault="00AD7044" w:rsidP="00AD7044">
      <w:pPr>
        <w:rPr>
          <w:rFonts w:ascii="Arial" w:hAnsi="Arial" w:cs="Arial"/>
          <w:sz w:val="20"/>
          <w:szCs w:val="20"/>
        </w:rPr>
      </w:pPr>
      <w:r w:rsidRPr="00AD7044">
        <w:rPr>
          <w:rFonts w:ascii="Arial" w:hAnsi="Arial" w:cs="Arial"/>
          <w:sz w:val="20"/>
          <w:szCs w:val="20"/>
        </w:rPr>
        <w:t>b)</w:t>
      </w:r>
      <w:r>
        <w:rPr>
          <w:rFonts w:ascii="Arial" w:hAnsi="Arial" w:cs="Arial"/>
          <w:sz w:val="20"/>
          <w:szCs w:val="20"/>
        </w:rPr>
        <w:t xml:space="preserve"> </w:t>
      </w:r>
      <w:r w:rsidRPr="00AD7044">
        <w:rPr>
          <w:rFonts w:ascii="Arial" w:hAnsi="Arial" w:cs="Arial"/>
          <w:sz w:val="20"/>
          <w:szCs w:val="20"/>
        </w:rPr>
        <w:t>After induction of anesthesia, under sterile conditions (sterile instruments, surgical PPE per policy), the middle abdomen will be shaved with an electric razor, and scrubbed with Betadine, after which the surgical site is wiped with 70% ethanol, and re-painted with Betadine.</w:t>
      </w:r>
    </w:p>
    <w:p w14:paraId="5554FB0D" w14:textId="245715E5" w:rsidR="00AD7044" w:rsidRPr="00AD7044" w:rsidRDefault="00AD7044" w:rsidP="00AD7044">
      <w:pPr>
        <w:rPr>
          <w:rFonts w:ascii="Arial" w:hAnsi="Arial" w:cs="Arial"/>
          <w:sz w:val="20"/>
          <w:szCs w:val="20"/>
        </w:rPr>
      </w:pPr>
      <w:r w:rsidRPr="00AD7044">
        <w:rPr>
          <w:rFonts w:ascii="Arial" w:hAnsi="Arial" w:cs="Arial"/>
          <w:sz w:val="20"/>
          <w:szCs w:val="20"/>
        </w:rPr>
        <w:t>c) The animal is then</w:t>
      </w:r>
      <w:r>
        <w:rPr>
          <w:rFonts w:ascii="Arial" w:hAnsi="Arial" w:cs="Arial"/>
          <w:sz w:val="20"/>
          <w:szCs w:val="20"/>
        </w:rPr>
        <w:t xml:space="preserve"> </w:t>
      </w:r>
      <w:r w:rsidRPr="00AD7044">
        <w:rPr>
          <w:rFonts w:ascii="Arial" w:hAnsi="Arial" w:cs="Arial"/>
          <w:sz w:val="20"/>
          <w:szCs w:val="20"/>
        </w:rPr>
        <w:t xml:space="preserve">draped appropriately, and using sterile gloves and instruments, a middle abdominal incision will be made and a </w:t>
      </w:r>
      <w:proofErr w:type="spellStart"/>
      <w:r w:rsidRPr="00AD7044">
        <w:rPr>
          <w:rFonts w:ascii="Arial" w:hAnsi="Arial" w:cs="Arial"/>
          <w:sz w:val="20"/>
          <w:szCs w:val="20"/>
        </w:rPr>
        <w:t>a</w:t>
      </w:r>
      <w:proofErr w:type="spellEnd"/>
      <w:r w:rsidRPr="00AD7044">
        <w:rPr>
          <w:rFonts w:ascii="Arial" w:hAnsi="Arial" w:cs="Arial"/>
          <w:sz w:val="20"/>
          <w:szCs w:val="20"/>
        </w:rPr>
        <w:t xml:space="preserve"> 250-um diameter </w:t>
      </w:r>
      <w:proofErr w:type="spellStart"/>
      <w:r w:rsidRPr="00AD7044">
        <w:rPr>
          <w:rFonts w:ascii="Arial" w:hAnsi="Arial" w:cs="Arial"/>
          <w:sz w:val="20"/>
          <w:szCs w:val="20"/>
        </w:rPr>
        <w:t>micropippette</w:t>
      </w:r>
      <w:proofErr w:type="spellEnd"/>
      <w:r w:rsidRPr="00AD7044">
        <w:rPr>
          <w:rFonts w:ascii="Arial" w:hAnsi="Arial" w:cs="Arial"/>
          <w:sz w:val="20"/>
          <w:szCs w:val="20"/>
        </w:rPr>
        <w:t xml:space="preserve"> will be used to inject 50μl of cell suspension (up to 2x10^6 cells resuspended in serum-free DMEM) into the cecum wall between the mucosa and the muscularis layers under a binocular lens (23 magnification), with an approximate 30° angle and its tip introduced 5 mm into the </w:t>
      </w:r>
      <w:proofErr w:type="spellStart"/>
      <w:r w:rsidRPr="00AD7044">
        <w:rPr>
          <w:rFonts w:ascii="Arial" w:hAnsi="Arial" w:cs="Arial"/>
          <w:sz w:val="20"/>
          <w:szCs w:val="20"/>
        </w:rPr>
        <w:t>cecal</w:t>
      </w:r>
      <w:proofErr w:type="spellEnd"/>
      <w:r w:rsidRPr="00AD7044">
        <w:rPr>
          <w:rFonts w:ascii="Arial" w:hAnsi="Arial" w:cs="Arial"/>
          <w:sz w:val="20"/>
          <w:szCs w:val="20"/>
        </w:rPr>
        <w:t xml:space="preserve"> wall.</w:t>
      </w:r>
      <w:r w:rsidR="00915957">
        <w:rPr>
          <w:rFonts w:ascii="Arial" w:hAnsi="Arial" w:cs="Arial"/>
          <w:sz w:val="20"/>
          <w:szCs w:val="20"/>
        </w:rPr>
        <w:t xml:space="preserve"> The delivery of tumor cells will occur within the subserosa. Alternatively, 2-10 mm</w:t>
      </w:r>
      <w:r w:rsidR="00915957" w:rsidRPr="00915957">
        <w:rPr>
          <w:rFonts w:ascii="Arial" w:hAnsi="Arial" w:cs="Arial"/>
          <w:sz w:val="20"/>
          <w:szCs w:val="20"/>
          <w:vertAlign w:val="superscript"/>
        </w:rPr>
        <w:t>3</w:t>
      </w:r>
      <w:r w:rsidR="00915957">
        <w:rPr>
          <w:rFonts w:ascii="Arial" w:hAnsi="Arial" w:cs="Arial"/>
          <w:sz w:val="20"/>
          <w:szCs w:val="20"/>
        </w:rPr>
        <w:t xml:space="preserve"> tumor pieces derived from </w:t>
      </w:r>
      <w:proofErr w:type="spellStart"/>
      <w:r w:rsidR="00915957">
        <w:rPr>
          <w:rFonts w:ascii="Arial" w:hAnsi="Arial" w:cs="Arial"/>
          <w:sz w:val="20"/>
          <w:szCs w:val="20"/>
        </w:rPr>
        <w:t>subcutanous</w:t>
      </w:r>
      <w:proofErr w:type="spellEnd"/>
      <w:r w:rsidR="00915957">
        <w:rPr>
          <w:rFonts w:ascii="Arial" w:hAnsi="Arial" w:cs="Arial"/>
          <w:sz w:val="20"/>
          <w:szCs w:val="20"/>
        </w:rPr>
        <w:t xml:space="preserve"> tumors will be sutured to the caecum wall using 3-0 </w:t>
      </w:r>
      <w:proofErr w:type="spellStart"/>
      <w:r w:rsidR="00915957">
        <w:rPr>
          <w:rFonts w:ascii="Arial" w:hAnsi="Arial" w:cs="Arial"/>
          <w:sz w:val="20"/>
          <w:szCs w:val="20"/>
        </w:rPr>
        <w:t>Vicryl</w:t>
      </w:r>
      <w:proofErr w:type="spellEnd"/>
      <w:r w:rsidR="00915957">
        <w:rPr>
          <w:rFonts w:ascii="Arial" w:hAnsi="Arial" w:cs="Arial"/>
          <w:sz w:val="20"/>
          <w:szCs w:val="20"/>
        </w:rPr>
        <w:t>.</w:t>
      </w:r>
      <w:bookmarkStart w:id="0" w:name="_GoBack"/>
      <w:bookmarkEnd w:id="0"/>
    </w:p>
    <w:p w14:paraId="7F951662" w14:textId="26EF1070" w:rsidR="00AD7044" w:rsidRPr="00AD7044" w:rsidRDefault="00AD7044" w:rsidP="00AD7044">
      <w:pPr>
        <w:rPr>
          <w:rFonts w:ascii="Arial" w:hAnsi="Arial" w:cs="Arial"/>
          <w:sz w:val="20"/>
          <w:szCs w:val="20"/>
        </w:rPr>
      </w:pPr>
      <w:r w:rsidRPr="00AD7044">
        <w:rPr>
          <w:rFonts w:ascii="Arial" w:hAnsi="Arial" w:cs="Arial"/>
          <w:sz w:val="20"/>
          <w:szCs w:val="20"/>
        </w:rPr>
        <w:t>d) Slight pressure with</w:t>
      </w:r>
      <w:r>
        <w:rPr>
          <w:rFonts w:ascii="Arial" w:hAnsi="Arial" w:cs="Arial"/>
          <w:sz w:val="20"/>
          <w:szCs w:val="20"/>
        </w:rPr>
        <w:t xml:space="preserve"> </w:t>
      </w:r>
      <w:r w:rsidRPr="00AD7044">
        <w:rPr>
          <w:rFonts w:ascii="Arial" w:hAnsi="Arial" w:cs="Arial"/>
          <w:sz w:val="20"/>
          <w:szCs w:val="20"/>
        </w:rPr>
        <w:t>a cotton stick will be done at 32 mm from the injection point in the direction of the pipette axis. The pipette is pulled out and clean the area around the injection with 3% iodine to avoid seeding of unlikely refluxed tumor cells into the abdominal cavity.</w:t>
      </w:r>
      <w:r>
        <w:rPr>
          <w:rFonts w:ascii="Arial" w:hAnsi="Arial" w:cs="Arial"/>
          <w:sz w:val="20"/>
          <w:szCs w:val="20"/>
        </w:rPr>
        <w:t xml:space="preserve"> </w:t>
      </w:r>
      <w:r w:rsidRPr="00AD7044">
        <w:rPr>
          <w:rFonts w:ascii="Arial" w:hAnsi="Arial" w:cs="Arial"/>
          <w:sz w:val="20"/>
          <w:szCs w:val="20"/>
        </w:rPr>
        <w:t xml:space="preserve">Any potential bleeding will be controlled by using a cotton swab. </w:t>
      </w:r>
    </w:p>
    <w:p w14:paraId="0454CA1F" w14:textId="2FD49592" w:rsidR="00AD7044" w:rsidRPr="00AD7044" w:rsidRDefault="00AD7044" w:rsidP="00AD7044">
      <w:pPr>
        <w:rPr>
          <w:rFonts w:ascii="Arial" w:hAnsi="Arial" w:cs="Arial"/>
          <w:sz w:val="20"/>
          <w:szCs w:val="20"/>
        </w:rPr>
      </w:pPr>
      <w:r w:rsidRPr="00AD7044">
        <w:rPr>
          <w:rFonts w:ascii="Arial" w:hAnsi="Arial" w:cs="Arial"/>
          <w:sz w:val="20"/>
          <w:szCs w:val="20"/>
        </w:rPr>
        <w:t xml:space="preserve">e) The wound will be closed in two layers, with running 4-0 </w:t>
      </w:r>
      <w:proofErr w:type="spellStart"/>
      <w:r w:rsidRPr="00AD7044">
        <w:rPr>
          <w:rFonts w:ascii="Arial" w:hAnsi="Arial" w:cs="Arial"/>
          <w:sz w:val="20"/>
          <w:szCs w:val="20"/>
        </w:rPr>
        <w:t>Vicryl</w:t>
      </w:r>
      <w:proofErr w:type="spellEnd"/>
      <w:r w:rsidRPr="00AD7044">
        <w:rPr>
          <w:rFonts w:ascii="Arial" w:hAnsi="Arial" w:cs="Arial"/>
          <w:sz w:val="20"/>
          <w:szCs w:val="20"/>
        </w:rPr>
        <w:t>, and nylon or polypropylene sutures for the skin. Mice will be monitored for anesthesia withdrawal as well as an increase or change in respiratory rate and/or pattern. The length of anesthesia will be approximately</w:t>
      </w:r>
      <w:r>
        <w:rPr>
          <w:rFonts w:ascii="Arial" w:hAnsi="Arial" w:cs="Arial"/>
          <w:sz w:val="20"/>
          <w:szCs w:val="20"/>
        </w:rPr>
        <w:t xml:space="preserve"> </w:t>
      </w:r>
      <w:r w:rsidRPr="00AD7044">
        <w:rPr>
          <w:rFonts w:ascii="Arial" w:hAnsi="Arial" w:cs="Arial"/>
          <w:sz w:val="20"/>
          <w:szCs w:val="20"/>
        </w:rPr>
        <w:t>20 minutes so the variance from normothermic conditions should be minimal. A heat lamp will be used if the mice do not begin to recover and move after 20 minutes of anesthesia. Care will be taken to ensure the mice do not overheat by keeping the lamp far enough away that it is comfortable for surgeon’s hands to rest there.</w:t>
      </w:r>
    </w:p>
    <w:p w14:paraId="3835221A" w14:textId="097AD763" w:rsidR="00AD7044" w:rsidRPr="00AD7044" w:rsidRDefault="00AD7044" w:rsidP="00AD7044">
      <w:pPr>
        <w:rPr>
          <w:rFonts w:ascii="Arial" w:hAnsi="Arial" w:cs="Arial"/>
          <w:sz w:val="20"/>
          <w:szCs w:val="20"/>
        </w:rPr>
      </w:pPr>
      <w:r w:rsidRPr="00AD7044">
        <w:rPr>
          <w:rFonts w:ascii="Arial" w:hAnsi="Arial" w:cs="Arial"/>
          <w:sz w:val="20"/>
          <w:szCs w:val="20"/>
        </w:rPr>
        <w:t>f) Respiratory rate and depth will be monitored until mouse is able to right itself after mouse is subject to surgery. The animal is then placed back into its cage, observed until fully recovered from anesthesia, and returned to its rack.</w:t>
      </w:r>
    </w:p>
    <w:p w14:paraId="5F6F5A0E" w14:textId="4F388AD4" w:rsidR="00AD7044" w:rsidRPr="00AD7044" w:rsidRDefault="00AD7044" w:rsidP="00AD7044">
      <w:pPr>
        <w:rPr>
          <w:rFonts w:ascii="Arial" w:hAnsi="Arial" w:cs="Arial"/>
          <w:sz w:val="20"/>
          <w:szCs w:val="20"/>
        </w:rPr>
      </w:pPr>
      <w:r w:rsidRPr="00AD7044">
        <w:rPr>
          <w:rFonts w:ascii="Arial" w:hAnsi="Arial" w:cs="Arial"/>
          <w:sz w:val="20"/>
          <w:szCs w:val="20"/>
        </w:rPr>
        <w:t>g) Mice will be weighed at the time of surgery and once a week following orthotopic implantation. If an animal appears to be losing weight, then the frequency of weighing will increase to every other day. Pain will be assessed as described in IACUC guidebook, 2002ed,</w:t>
      </w:r>
      <w:r>
        <w:rPr>
          <w:rFonts w:ascii="Arial" w:hAnsi="Arial" w:cs="Arial"/>
          <w:sz w:val="20"/>
          <w:szCs w:val="20"/>
        </w:rPr>
        <w:t xml:space="preserve"> </w:t>
      </w:r>
      <w:r w:rsidRPr="00AD7044">
        <w:rPr>
          <w:rFonts w:ascii="Arial" w:hAnsi="Arial" w:cs="Arial"/>
          <w:sz w:val="20"/>
          <w:szCs w:val="20"/>
        </w:rPr>
        <w:t>(</w:t>
      </w:r>
      <w:hyperlink r:id="rId4" w:history="1">
        <w:r w:rsidRPr="007A13DB">
          <w:rPr>
            <w:rStyle w:val="Hyperlink"/>
            <w:rFonts w:ascii="Arial" w:hAnsi="Arial" w:cs="Arial"/>
            <w:sz w:val="20"/>
            <w:szCs w:val="20"/>
          </w:rPr>
          <w:t>http://grants.nih.gov/grants/olaw/GuideBook.pdf</w:t>
        </w:r>
      </w:hyperlink>
      <w:r w:rsidRPr="00AD7044">
        <w:rPr>
          <w:rFonts w:ascii="Arial" w:hAnsi="Arial" w:cs="Arial"/>
          <w:sz w:val="20"/>
          <w:szCs w:val="20"/>
        </w:rPr>
        <w:t>)</w:t>
      </w:r>
      <w:r>
        <w:rPr>
          <w:rFonts w:ascii="Arial" w:hAnsi="Arial" w:cs="Arial"/>
          <w:sz w:val="20"/>
          <w:szCs w:val="20"/>
        </w:rPr>
        <w:t xml:space="preserve"> </w:t>
      </w:r>
      <w:r w:rsidRPr="00AD7044">
        <w:rPr>
          <w:rFonts w:ascii="Arial" w:hAnsi="Arial" w:cs="Arial"/>
          <w:sz w:val="20"/>
          <w:szCs w:val="20"/>
        </w:rPr>
        <w:t>and treated by analgesia Buprenorphine (0.05-0.1mg/kg) administered initially at time of surgery and then SC or IP twice daily or more frequently if pain is indicated, but no more than every 6 hours as needed for at least 48 hours. We give this with ketoprofen SC 1-2 mg/kg given before surgery and again 24 hours later. If an animal loses greater than 20% of their body weight, or if it appears that the animal is in distress as outlined by the criteria above in "monitoring of clinical signs", it will be euthanized prior to the planned time point.</w:t>
      </w:r>
    </w:p>
    <w:p w14:paraId="0250F566" w14:textId="77777777" w:rsidR="00AD7044" w:rsidRDefault="00AD7044" w:rsidP="00AD7044">
      <w:pPr>
        <w:rPr>
          <w:rFonts w:ascii="Arial" w:hAnsi="Arial" w:cs="Arial"/>
          <w:sz w:val="20"/>
          <w:szCs w:val="20"/>
        </w:rPr>
      </w:pPr>
    </w:p>
    <w:p w14:paraId="24C3C5D5" w14:textId="0275F9FB" w:rsidR="009E0FCD" w:rsidRPr="00AD7044" w:rsidRDefault="00AD7044" w:rsidP="00AD7044">
      <w:pPr>
        <w:rPr>
          <w:rFonts w:ascii="Arial" w:hAnsi="Arial" w:cs="Arial"/>
          <w:sz w:val="20"/>
          <w:szCs w:val="20"/>
        </w:rPr>
      </w:pPr>
      <w:r w:rsidRPr="00AD7044">
        <w:rPr>
          <w:rFonts w:ascii="Arial" w:hAnsi="Arial" w:cs="Arial"/>
          <w:sz w:val="20"/>
          <w:szCs w:val="20"/>
        </w:rPr>
        <w:lastRenderedPageBreak/>
        <w:t>Significant differences</w:t>
      </w:r>
      <w:r>
        <w:rPr>
          <w:rFonts w:ascii="Arial" w:hAnsi="Arial" w:cs="Arial"/>
          <w:sz w:val="20"/>
          <w:szCs w:val="20"/>
        </w:rPr>
        <w:t xml:space="preserve"> </w:t>
      </w:r>
      <w:r w:rsidRPr="00AD7044">
        <w:rPr>
          <w:rFonts w:ascii="Arial" w:hAnsi="Arial" w:cs="Arial"/>
          <w:sz w:val="20"/>
          <w:szCs w:val="20"/>
        </w:rPr>
        <w:t xml:space="preserve">between groups will be determined using a </w:t>
      </w:r>
      <w:proofErr w:type="spellStart"/>
      <w:r w:rsidRPr="00AD7044">
        <w:rPr>
          <w:rFonts w:ascii="Arial" w:hAnsi="Arial" w:cs="Arial"/>
          <w:sz w:val="20"/>
          <w:szCs w:val="20"/>
        </w:rPr>
        <w:t>Student’sttest</w:t>
      </w:r>
      <w:proofErr w:type="spellEnd"/>
      <w:r w:rsidRPr="00AD7044">
        <w:rPr>
          <w:rFonts w:ascii="Arial" w:hAnsi="Arial" w:cs="Arial"/>
          <w:sz w:val="20"/>
          <w:szCs w:val="20"/>
        </w:rPr>
        <w:t xml:space="preserve"> (two-tailed unpaired) when the data met the normal distribution tested by the D’Agostino test. If the data does not meet this test, a Mann-Whitney test will be used.</w:t>
      </w:r>
    </w:p>
    <w:sectPr w:rsidR="009E0FCD" w:rsidRPr="00AD7044" w:rsidSect="0005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44"/>
    <w:rsid w:val="00057151"/>
    <w:rsid w:val="00904E4C"/>
    <w:rsid w:val="00915957"/>
    <w:rsid w:val="00AD7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958CD8"/>
  <w15:chartTrackingRefBased/>
  <w15:docId w15:val="{8807F3BE-39C7-384D-BE70-BF35FACAE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7044"/>
    <w:rPr>
      <w:color w:val="0563C1" w:themeColor="hyperlink"/>
      <w:u w:val="single"/>
    </w:rPr>
  </w:style>
  <w:style w:type="character" w:styleId="UnresolvedMention">
    <w:name w:val="Unresolved Mention"/>
    <w:basedOn w:val="DefaultParagraphFont"/>
    <w:uiPriority w:val="99"/>
    <w:semiHidden/>
    <w:unhideWhenUsed/>
    <w:rsid w:val="00AD7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94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grants.nih.gov/grants/olaw/GuideBoo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2019-10-25T23:44:00Z</dcterms:created>
  <dcterms:modified xsi:type="dcterms:W3CDTF">2019-10-25T23:53:00Z</dcterms:modified>
</cp:coreProperties>
</file>