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1647" w:rsidRPr="006441B6" w:rsidRDefault="006441B6" w:rsidP="000B5FC9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41B6">
        <w:rPr>
          <w:rFonts w:ascii="Arial" w:hAnsi="Arial" w:cs="Arial"/>
          <w:color w:val="000000" w:themeColor="text1"/>
          <w:sz w:val="20"/>
          <w:szCs w:val="20"/>
        </w:rPr>
        <w:t>Methods from Wei et al 2019</w:t>
      </w:r>
    </w:p>
    <w:p w:rsidR="006441B6" w:rsidRPr="006441B6" w:rsidRDefault="006441B6" w:rsidP="000B5FC9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6441B6" w:rsidRPr="006441B6" w:rsidRDefault="006441B6" w:rsidP="000B5FC9">
      <w:pPr>
        <w:spacing w:line="276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6441B6">
        <w:rPr>
          <w:rFonts w:ascii="Arial" w:hAnsi="Arial" w:cs="Arial"/>
          <w:b/>
          <w:color w:val="000000" w:themeColor="text1"/>
          <w:sz w:val="20"/>
          <w:szCs w:val="20"/>
        </w:rPr>
        <w:t>Cell purification and Viral Transduction</w:t>
      </w:r>
    </w:p>
    <w:p w:rsidR="006441B6" w:rsidRPr="006441B6" w:rsidRDefault="006441B6" w:rsidP="000B5FC9">
      <w:pPr>
        <w:spacing w:line="276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6441B6" w:rsidRPr="006441B6" w:rsidRDefault="006441B6" w:rsidP="000B5FC9">
      <w:pPr>
        <w:pStyle w:val="NormalWeb"/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Naïve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Cas9-expressing OT-I cells were isolated from the spleen and peripheral lymph nodes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(PLNs) of Cas9-OT-I mice using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naïve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CD8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>a</w:t>
      </w:r>
      <w:r w:rsidRPr="006441B6">
        <w:rPr>
          <w:rFonts w:ascii="Arial" w:hAnsi="Arial" w:cs="Arial"/>
          <w:color w:val="000000" w:themeColor="text1"/>
          <w:position w:val="12"/>
          <w:sz w:val="20"/>
          <w:szCs w:val="20"/>
        </w:rPr>
        <w:t xml:space="preserve">+ 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>T cell isolation kit (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Miltenyi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Biotec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130-096-543)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according to manufacturer's instructions. Purified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naïve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OT-I cells were activated in vitro for 18h with 10 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>m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g/ml anti-CD3 (2C11; Bio X Cell), 5 μg/ml anti-CD28 (37.51; Bio X Cell) before viral transduction. Viral transduction was performed by spin-infection at 800 g at 25 °C for 3 h with 10 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>m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>g/ml polybrene (Sigma). Cells were continued to culture with human IL-2 (20 UI/ml;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PeproTech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), mouse IL-7 (25 ng/ml;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PeproTech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) and IL-15 (12.5 ng/ml;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PeproTech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>) for 3−4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proofErr w:type="gramStart"/>
      <w:r w:rsidRPr="006441B6">
        <w:rPr>
          <w:rFonts w:ascii="Arial" w:hAnsi="Arial" w:cs="Arial"/>
          <w:color w:val="000000" w:themeColor="text1"/>
          <w:sz w:val="20"/>
          <w:szCs w:val="20"/>
        </w:rPr>
        <w:t>502  days</w:t>
      </w:r>
      <w:proofErr w:type="gramEnd"/>
      <w:r w:rsidRPr="006441B6">
        <w:rPr>
          <w:rFonts w:ascii="Arial" w:hAnsi="Arial" w:cs="Arial"/>
          <w:color w:val="000000" w:themeColor="text1"/>
          <w:sz w:val="20"/>
          <w:szCs w:val="20"/>
        </w:rPr>
        <w:t>. Transduced cells were sorted using a Reflection (i-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Cyt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>) before adoptive transfer into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6441B6">
        <w:rPr>
          <w:rFonts w:ascii="Arial" w:hAnsi="Arial" w:cs="Arial"/>
          <w:color w:val="000000" w:themeColor="text1"/>
          <w:sz w:val="20"/>
          <w:szCs w:val="20"/>
        </w:rPr>
        <w:t>recipients. sgRNAs were designed by using the online tool (https://portals.broadinstitute.org/gpp/public/analysis-tools/sgrna-design). sgRNAs used in this study were as follows: non-targeting control sgRNA: ATGACACTTACGGTACTCGT</w:t>
      </w:r>
    </w:p>
    <w:p w:rsidR="006441B6" w:rsidRPr="006441B6" w:rsidRDefault="006441B6" w:rsidP="000B5FC9">
      <w:pPr>
        <w:pStyle w:val="NormalWeb"/>
        <w:spacing w:line="276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41B6">
        <w:rPr>
          <w:rFonts w:ascii="Arial" w:hAnsi="Arial" w:cs="Arial"/>
          <w:color w:val="000000" w:themeColor="text1"/>
          <w:sz w:val="20"/>
          <w:szCs w:val="20"/>
        </w:rPr>
        <w:t>sgRegnase-1: AAGGCAGTGGTTTCTTACGA;</w:t>
      </w:r>
    </w:p>
    <w:p w:rsidR="006441B6" w:rsidRPr="006441B6" w:rsidRDefault="006441B6" w:rsidP="000B5FC9">
      <w:pPr>
        <w:pStyle w:val="NormalWeb"/>
        <w:spacing w:line="276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41B6">
        <w:rPr>
          <w:rFonts w:ascii="Arial" w:hAnsi="Arial" w:cs="Arial"/>
          <w:color w:val="000000" w:themeColor="text1"/>
          <w:sz w:val="20"/>
          <w:szCs w:val="20"/>
        </w:rPr>
        <w:t>sgRegnase-1 #2: GGAGTGGAAACGCTTCATCG;</w:t>
      </w:r>
    </w:p>
    <w:p w:rsidR="006441B6" w:rsidRPr="006441B6" w:rsidRDefault="006441B6" w:rsidP="000B5FC9">
      <w:pPr>
        <w:pStyle w:val="NormalWeb"/>
        <w:spacing w:line="276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sgBatf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>: AGAGATCAAACAGCTCACCG;</w:t>
      </w:r>
    </w:p>
    <w:p w:rsidR="006441B6" w:rsidRPr="006441B6" w:rsidRDefault="006441B6" w:rsidP="000B5FC9">
      <w:pPr>
        <w:pStyle w:val="NormalWeb"/>
        <w:spacing w:line="276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sgBatf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#2: AGGACTCATCTGATGATGTG (which gave similar results as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sgBatf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; data not shown); </w:t>
      </w:r>
    </w:p>
    <w:p w:rsidR="006441B6" w:rsidRPr="006441B6" w:rsidRDefault="006441B6" w:rsidP="000B5FC9">
      <w:pPr>
        <w:pStyle w:val="NormalWeb"/>
        <w:spacing w:line="276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41B6">
        <w:rPr>
          <w:rFonts w:ascii="Arial" w:hAnsi="Arial" w:cs="Arial"/>
          <w:color w:val="000000" w:themeColor="text1"/>
          <w:sz w:val="20"/>
          <w:szCs w:val="20"/>
        </w:rPr>
        <w:t>sgPtpn2: AAGAAGTTACATCTTAACAC;</w:t>
      </w:r>
    </w:p>
    <w:p w:rsidR="006441B6" w:rsidRPr="006441B6" w:rsidRDefault="006441B6" w:rsidP="000B5FC9">
      <w:pPr>
        <w:pStyle w:val="NormalWeb"/>
        <w:spacing w:line="276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41B6">
        <w:rPr>
          <w:rFonts w:ascii="Arial" w:hAnsi="Arial" w:cs="Arial"/>
          <w:color w:val="000000" w:themeColor="text1"/>
          <w:sz w:val="20"/>
          <w:szCs w:val="20"/>
        </w:rPr>
        <w:t>sgPtpn2 #2: CACTCTATGAGGATAGTCAT (which gave similar results as sgPtpn2; data not shown);</w:t>
      </w:r>
    </w:p>
    <w:p w:rsidR="006441B6" w:rsidRPr="006441B6" w:rsidRDefault="006441B6" w:rsidP="000B5FC9">
      <w:pPr>
        <w:pStyle w:val="NormalWeb"/>
        <w:spacing w:line="276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41B6">
        <w:rPr>
          <w:rFonts w:ascii="Arial" w:hAnsi="Arial" w:cs="Arial"/>
          <w:color w:val="000000" w:themeColor="text1"/>
          <w:sz w:val="20"/>
          <w:szCs w:val="20"/>
        </w:rPr>
        <w:t>sgSocs1: TGATGCGCCGGTAATCGGAG;</w:t>
      </w:r>
    </w:p>
    <w:p w:rsidR="006441B6" w:rsidRPr="006441B6" w:rsidRDefault="006441B6" w:rsidP="000B5FC9">
      <w:pPr>
        <w:pStyle w:val="NormalWeb"/>
        <w:spacing w:line="276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41B6">
        <w:rPr>
          <w:rFonts w:ascii="Arial" w:hAnsi="Arial" w:cs="Arial"/>
          <w:color w:val="000000" w:themeColor="text1"/>
          <w:sz w:val="20"/>
          <w:szCs w:val="20"/>
        </w:rPr>
        <w:t>sgSocs1 #2: TGGTGCGCGACAGTCGCCAA (which gave similar results as sgSocs1; data not shown).</w:t>
      </w:r>
    </w:p>
    <w:p w:rsidR="006441B6" w:rsidRPr="006441B6" w:rsidRDefault="006441B6" w:rsidP="000B5FC9">
      <w:pPr>
        <w:pStyle w:val="NormalWeb"/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The coding sequence of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Batf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Addgene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# 34575) was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subcloned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into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pMIG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>-II retroviral vector (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Addg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>e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ne # 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52107), which was co-transfected into Plat-E cells with the helper plasmid 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pCL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>-Eco (</w:t>
      </w:r>
      <w:proofErr w:type="spellStart"/>
      <w:r w:rsidRPr="006441B6">
        <w:rPr>
          <w:rFonts w:ascii="Arial" w:hAnsi="Arial" w:cs="Arial"/>
          <w:color w:val="000000" w:themeColor="text1"/>
          <w:sz w:val="20"/>
          <w:szCs w:val="20"/>
        </w:rPr>
        <w:t>Addgene</w:t>
      </w:r>
      <w:proofErr w:type="spellEnd"/>
      <w:r w:rsidRPr="006441B6">
        <w:rPr>
          <w:rFonts w:ascii="Arial" w:hAnsi="Arial" w:cs="Arial"/>
          <w:color w:val="000000" w:themeColor="text1"/>
          <w:sz w:val="20"/>
          <w:szCs w:val="20"/>
        </w:rPr>
        <w:t xml:space="preserve"> # 12371) for the production of retrovirus. </w:t>
      </w:r>
    </w:p>
    <w:p w:rsidR="006441B6" w:rsidRPr="006441B6" w:rsidRDefault="006441B6" w:rsidP="000B5FC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6441B6">
        <w:rPr>
          <w:rFonts w:ascii="Arial" w:eastAsia="Times New Roman" w:hAnsi="Arial" w:cs="Arial"/>
          <w:b/>
          <w:sz w:val="20"/>
          <w:szCs w:val="20"/>
        </w:rPr>
        <w:t xml:space="preserve">Lentiviral sgRNA metabolic library CRISPR-Cas9 mutagenesis screening </w:t>
      </w:r>
    </w:p>
    <w:p w:rsidR="006441B6" w:rsidRPr="006441B6" w:rsidRDefault="006441B6" w:rsidP="000B5FC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441B6">
        <w:rPr>
          <w:rFonts w:ascii="Arial" w:eastAsia="Times New Roman" w:hAnsi="Arial" w:cs="Arial"/>
          <w:sz w:val="20"/>
          <w:szCs w:val="20"/>
        </w:rPr>
        <w:t>Lentiviral and retroviral gRNA vector design</w:t>
      </w:r>
    </w:p>
    <w:p w:rsidR="006441B6" w:rsidRPr="006441B6" w:rsidRDefault="006441B6" w:rsidP="000B5FC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441B6">
        <w:rPr>
          <w:rFonts w:ascii="Arial" w:eastAsia="Times New Roman" w:hAnsi="Arial" w:cs="Arial"/>
          <w:sz w:val="20"/>
          <w:szCs w:val="20"/>
        </w:rPr>
        <w:t>The gene list of mouse metabolic library was based on the reported human metabolic genes. A total of 6 gRNAs were designed for each mouse metabolic gene according to our previously published selection criteria</w:t>
      </w:r>
      <w:r w:rsidRPr="006441B6">
        <w:rPr>
          <w:rFonts w:ascii="Arial" w:eastAsia="Times New Roman" w:hAnsi="Arial" w:cs="Arial"/>
          <w:position w:val="12"/>
          <w:sz w:val="20"/>
          <w:szCs w:val="20"/>
        </w:rPr>
        <w:t xml:space="preserve"> </w:t>
      </w:r>
      <w:r w:rsidRPr="006441B6">
        <w:rPr>
          <w:rFonts w:ascii="Arial" w:eastAsia="Times New Roman" w:hAnsi="Arial" w:cs="Arial"/>
          <w:sz w:val="20"/>
          <w:szCs w:val="20"/>
        </w:rPr>
        <w:t xml:space="preserve">and were split into two sub-libraries (AAAQ05 and AAAR07, Supplementary Table 1), each containing 500 non-targeting controls. Oligonucleotides containing the guide sequence were synthesized (Custom Array), PCR amplified, and cloned into the recipient vector via a Golden Gate cloning procedure, </w:t>
      </w:r>
      <w:r w:rsidRPr="006441B6">
        <w:rPr>
          <w:rFonts w:ascii="Arial" w:eastAsia="Times New Roman" w:hAnsi="Arial" w:cs="Arial"/>
          <w:sz w:val="20"/>
          <w:szCs w:val="20"/>
        </w:rPr>
        <w:lastRenderedPageBreak/>
        <w:t>including 5 ml Tango Buffer (</w:t>
      </w:r>
      <w:proofErr w:type="spellStart"/>
      <w:r w:rsidRPr="006441B6">
        <w:rPr>
          <w:rFonts w:ascii="Arial" w:eastAsia="Times New Roman" w:hAnsi="Arial" w:cs="Arial"/>
          <w:sz w:val="20"/>
          <w:szCs w:val="20"/>
        </w:rPr>
        <w:t>ThermoFisher</w:t>
      </w:r>
      <w:proofErr w:type="spellEnd"/>
      <w:r w:rsidRPr="006441B6">
        <w:rPr>
          <w:rFonts w:ascii="Arial" w:eastAsia="Times New Roman" w:hAnsi="Arial" w:cs="Arial"/>
          <w:sz w:val="20"/>
          <w:szCs w:val="20"/>
        </w:rPr>
        <w:t xml:space="preserve">), 5 μl DTT (10 </w:t>
      </w:r>
      <w:proofErr w:type="spellStart"/>
      <w:r w:rsidRPr="006441B6">
        <w:rPr>
          <w:rFonts w:ascii="Arial" w:eastAsia="Times New Roman" w:hAnsi="Arial" w:cs="Arial"/>
          <w:sz w:val="20"/>
          <w:szCs w:val="20"/>
        </w:rPr>
        <w:t>mM</w:t>
      </w:r>
      <w:proofErr w:type="spellEnd"/>
      <w:r w:rsidRPr="006441B6">
        <w:rPr>
          <w:rFonts w:ascii="Arial" w:eastAsia="Times New Roman" w:hAnsi="Arial" w:cs="Arial"/>
          <w:sz w:val="20"/>
          <w:szCs w:val="20"/>
        </w:rPr>
        <w:t xml:space="preserve"> stock); 5 μl ATP (10 </w:t>
      </w:r>
      <w:proofErr w:type="spellStart"/>
      <w:r w:rsidRPr="006441B6">
        <w:rPr>
          <w:rFonts w:ascii="Arial" w:eastAsia="Times New Roman" w:hAnsi="Arial" w:cs="Arial"/>
          <w:sz w:val="20"/>
          <w:szCs w:val="20"/>
        </w:rPr>
        <w:t>mM</w:t>
      </w:r>
      <w:proofErr w:type="spellEnd"/>
      <w:r w:rsidRPr="006441B6">
        <w:rPr>
          <w:rFonts w:ascii="Arial" w:eastAsia="Times New Roman" w:hAnsi="Arial" w:cs="Arial"/>
          <w:sz w:val="20"/>
          <w:szCs w:val="20"/>
        </w:rPr>
        <w:t xml:space="preserve"> stock); 500 ng vector, pre-digested with Esp3I, gel-extracted, and isopropanol-precipitation purified; 100 ng insert PCR product; 1 ml Esp3I (</w:t>
      </w:r>
      <w:proofErr w:type="spellStart"/>
      <w:r w:rsidRPr="006441B6">
        <w:rPr>
          <w:rFonts w:ascii="Arial" w:eastAsia="Times New Roman" w:hAnsi="Arial" w:cs="Arial"/>
          <w:sz w:val="20"/>
          <w:szCs w:val="20"/>
        </w:rPr>
        <w:t>ThermoFisher</w:t>
      </w:r>
      <w:proofErr w:type="spellEnd"/>
      <w:r w:rsidRPr="006441B6">
        <w:rPr>
          <w:rFonts w:ascii="Arial" w:eastAsia="Times New Roman" w:hAnsi="Arial" w:cs="Arial"/>
          <w:sz w:val="20"/>
          <w:szCs w:val="20"/>
        </w:rPr>
        <w:t xml:space="preserve"> ER0452); 1 ml T7 ligase (</w:t>
      </w:r>
      <w:proofErr w:type="spellStart"/>
      <w:r w:rsidRPr="006441B6">
        <w:rPr>
          <w:rFonts w:ascii="Arial" w:eastAsia="Times New Roman" w:hAnsi="Arial" w:cs="Arial"/>
          <w:sz w:val="20"/>
          <w:szCs w:val="20"/>
        </w:rPr>
        <w:t>Enzymatics</w:t>
      </w:r>
      <w:proofErr w:type="spellEnd"/>
      <w:r w:rsidRPr="006441B6">
        <w:rPr>
          <w:rFonts w:ascii="Arial" w:eastAsia="Times New Roman" w:hAnsi="Arial" w:cs="Arial"/>
          <w:sz w:val="20"/>
          <w:szCs w:val="20"/>
        </w:rPr>
        <w:t xml:space="preserve">, 3,000 Units/ml, L6020L); and water, up to 50 ml, and incubated in cycle (5 min at 37 °C and 5 min at 20 °C) for 100 times. The product was then purified by isopropanol precipitation and electroporated into STBL4 cells (Life Technologies 11635018). The distribution of the library was determined by Illumina sequencing </w:t>
      </w:r>
    </w:p>
    <w:p w:rsidR="006441B6" w:rsidRPr="000B5FC9" w:rsidRDefault="006441B6" w:rsidP="000B5FC9">
      <w:pPr>
        <w:pStyle w:val="NormalWeb"/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0B5FC9">
        <w:rPr>
          <w:rFonts w:ascii="Arial" w:hAnsi="Arial" w:cs="Arial"/>
          <w:b/>
          <w:sz w:val="20"/>
          <w:szCs w:val="20"/>
        </w:rPr>
        <w:t xml:space="preserve">In vivo screening </w:t>
      </w:r>
    </w:p>
    <w:p w:rsidR="006441B6" w:rsidRPr="006441B6" w:rsidRDefault="006441B6" w:rsidP="000B5FC9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441B6">
        <w:rPr>
          <w:rFonts w:ascii="Arial" w:hAnsi="Arial" w:cs="Arial"/>
          <w:sz w:val="20"/>
          <w:szCs w:val="20"/>
        </w:rPr>
        <w:t>Lentivirus was produced by co-transfecting HEK293T cells with the lentiviral metabolic library</w:t>
      </w:r>
      <w:r w:rsidRPr="006441B6">
        <w:rPr>
          <w:rFonts w:ascii="Arial" w:hAnsi="Arial" w:cs="Arial"/>
          <w:sz w:val="20"/>
          <w:szCs w:val="20"/>
        </w:rPr>
        <w:t xml:space="preserve"> </w:t>
      </w:r>
      <w:r w:rsidRPr="006441B6">
        <w:rPr>
          <w:rFonts w:ascii="Arial" w:hAnsi="Arial" w:cs="Arial"/>
          <w:sz w:val="20"/>
          <w:szCs w:val="20"/>
        </w:rPr>
        <w:t>plasmids, psPAX2 (</w:t>
      </w:r>
      <w:proofErr w:type="spellStart"/>
      <w:r w:rsidRPr="006441B6">
        <w:rPr>
          <w:rFonts w:ascii="Arial" w:hAnsi="Arial" w:cs="Arial"/>
          <w:sz w:val="20"/>
          <w:szCs w:val="20"/>
        </w:rPr>
        <w:t>Addgene</w:t>
      </w:r>
      <w:proofErr w:type="spellEnd"/>
      <w:r w:rsidRPr="006441B6">
        <w:rPr>
          <w:rFonts w:ascii="Arial" w:hAnsi="Arial" w:cs="Arial"/>
          <w:sz w:val="20"/>
          <w:szCs w:val="20"/>
        </w:rPr>
        <w:t xml:space="preserve"> plasmid # 12260) and pCAG4-Eco. At 48 h after transfection, virus was harvested and froze at −80 °C. Four hundred to five hundred million </w:t>
      </w:r>
      <w:proofErr w:type="spellStart"/>
      <w:r w:rsidRPr="006441B6">
        <w:rPr>
          <w:rFonts w:ascii="Arial" w:hAnsi="Arial" w:cs="Arial"/>
          <w:sz w:val="20"/>
          <w:szCs w:val="20"/>
        </w:rPr>
        <w:t>naïve</w:t>
      </w:r>
      <w:proofErr w:type="spellEnd"/>
      <w:r w:rsidRPr="006441B6">
        <w:rPr>
          <w:rFonts w:ascii="Arial" w:hAnsi="Arial" w:cs="Arial"/>
          <w:sz w:val="20"/>
          <w:szCs w:val="20"/>
        </w:rPr>
        <w:t xml:space="preserve"> Cas9-expressing OT-I cells were isolated from 8–14 Cas9-OT-I mice and transduced at a MOI of 0.3 to achieve </w:t>
      </w:r>
      <w:r w:rsidRPr="000B5FC9">
        <w:rPr>
          <w:rFonts w:ascii="Arial" w:hAnsi="Arial" w:cs="Arial"/>
          <w:b/>
          <w:sz w:val="20"/>
          <w:szCs w:val="20"/>
          <w:highlight w:val="yellow"/>
        </w:rPr>
        <w:t>~20% transduction efficiency</w:t>
      </w:r>
      <w:r w:rsidRPr="006441B6">
        <w:rPr>
          <w:rFonts w:ascii="Arial" w:hAnsi="Arial" w:cs="Arial"/>
          <w:sz w:val="20"/>
          <w:szCs w:val="20"/>
        </w:rPr>
        <w:t xml:space="preserve">. After viral transduction, cells were cultured with human IL-2 (20 IU/ml; </w:t>
      </w:r>
      <w:proofErr w:type="spellStart"/>
      <w:r w:rsidRPr="006441B6">
        <w:rPr>
          <w:rFonts w:ascii="Arial" w:hAnsi="Arial" w:cs="Arial"/>
          <w:sz w:val="20"/>
          <w:szCs w:val="20"/>
        </w:rPr>
        <w:t>PeproTech</w:t>
      </w:r>
      <w:proofErr w:type="spellEnd"/>
      <w:r w:rsidRPr="006441B6">
        <w:rPr>
          <w:rFonts w:ascii="Arial" w:hAnsi="Arial" w:cs="Arial"/>
          <w:sz w:val="20"/>
          <w:szCs w:val="20"/>
        </w:rPr>
        <w:t xml:space="preserve">), mouse IL-7 (25 ng/ml; </w:t>
      </w:r>
      <w:proofErr w:type="spellStart"/>
      <w:r w:rsidRPr="006441B6">
        <w:rPr>
          <w:rFonts w:ascii="Arial" w:hAnsi="Arial" w:cs="Arial"/>
          <w:sz w:val="20"/>
          <w:szCs w:val="20"/>
        </w:rPr>
        <w:t>PeproTech</w:t>
      </w:r>
      <w:proofErr w:type="spellEnd"/>
      <w:r w:rsidRPr="006441B6">
        <w:rPr>
          <w:rFonts w:ascii="Arial" w:hAnsi="Arial" w:cs="Arial"/>
          <w:sz w:val="20"/>
          <w:szCs w:val="20"/>
        </w:rPr>
        <w:t xml:space="preserve">) and IL-15 (12.5 ng/ml; </w:t>
      </w:r>
      <w:proofErr w:type="spellStart"/>
      <w:r w:rsidRPr="006441B6">
        <w:rPr>
          <w:rFonts w:ascii="Arial" w:hAnsi="Arial" w:cs="Arial"/>
          <w:sz w:val="20"/>
          <w:szCs w:val="20"/>
        </w:rPr>
        <w:t>PeproTech</w:t>
      </w:r>
      <w:proofErr w:type="spellEnd"/>
      <w:r w:rsidRPr="006441B6">
        <w:rPr>
          <w:rFonts w:ascii="Arial" w:hAnsi="Arial" w:cs="Arial"/>
          <w:sz w:val="20"/>
          <w:szCs w:val="20"/>
        </w:rPr>
        <w:t xml:space="preserve">) for 4 days. </w:t>
      </w:r>
      <w:r w:rsidRPr="000B5FC9">
        <w:rPr>
          <w:rFonts w:ascii="Arial" w:hAnsi="Arial" w:cs="Arial"/>
          <w:b/>
          <w:sz w:val="20"/>
          <w:szCs w:val="20"/>
          <w:highlight w:val="yellow"/>
        </w:rPr>
        <w:t>Transduced cells expressing Ametrine were sorted using a Reflection sorter (i-</w:t>
      </w:r>
      <w:proofErr w:type="spellStart"/>
      <w:r w:rsidRPr="000B5FC9">
        <w:rPr>
          <w:rFonts w:ascii="Arial" w:hAnsi="Arial" w:cs="Arial"/>
          <w:b/>
          <w:sz w:val="20"/>
          <w:szCs w:val="20"/>
          <w:highlight w:val="yellow"/>
        </w:rPr>
        <w:t>Cyt</w:t>
      </w:r>
      <w:proofErr w:type="spellEnd"/>
      <w:r w:rsidRPr="000B5FC9">
        <w:rPr>
          <w:rFonts w:ascii="Arial" w:hAnsi="Arial" w:cs="Arial"/>
          <w:b/>
          <w:sz w:val="20"/>
          <w:szCs w:val="20"/>
          <w:highlight w:val="yellow"/>
        </w:rPr>
        <w:t>), and an aliquot of 5 × 10</w:t>
      </w:r>
      <w:r w:rsidRPr="000B5FC9">
        <w:rPr>
          <w:rFonts w:ascii="Arial" w:hAnsi="Arial" w:cs="Arial"/>
          <w:b/>
          <w:position w:val="12"/>
          <w:sz w:val="20"/>
          <w:szCs w:val="20"/>
          <w:highlight w:val="yellow"/>
        </w:rPr>
        <w:t>6</w:t>
      </w:r>
      <w:r w:rsidR="000B5FC9" w:rsidRPr="000B5FC9">
        <w:rPr>
          <w:rFonts w:ascii="Arial" w:hAnsi="Arial" w:cs="Arial"/>
          <w:b/>
          <w:position w:val="12"/>
          <w:sz w:val="20"/>
          <w:szCs w:val="20"/>
          <w:highlight w:val="yellow"/>
        </w:rPr>
        <w:t xml:space="preserve"> </w:t>
      </w:r>
      <w:r w:rsidRPr="000B5FC9">
        <w:rPr>
          <w:rFonts w:ascii="Arial" w:hAnsi="Arial" w:cs="Arial"/>
          <w:b/>
          <w:sz w:val="20"/>
          <w:szCs w:val="20"/>
          <w:highlight w:val="yellow"/>
        </w:rPr>
        <w:t>transduced OT-I cells was saved as “input”</w:t>
      </w:r>
      <w:r w:rsidRPr="006441B6">
        <w:rPr>
          <w:rFonts w:ascii="Arial" w:hAnsi="Arial" w:cs="Arial"/>
          <w:sz w:val="20"/>
          <w:szCs w:val="20"/>
        </w:rPr>
        <w:t xml:space="preserve"> (~500 × cell coverage per sgRNA). Transduced OT-I cells (5 × 10</w:t>
      </w:r>
      <w:r w:rsidRPr="006441B6">
        <w:rPr>
          <w:rFonts w:ascii="Arial" w:hAnsi="Arial" w:cs="Arial"/>
          <w:position w:val="12"/>
          <w:sz w:val="20"/>
          <w:szCs w:val="20"/>
        </w:rPr>
        <w:t xml:space="preserve">6 </w:t>
      </w:r>
      <w:r w:rsidRPr="006441B6">
        <w:rPr>
          <w:rFonts w:ascii="Arial" w:hAnsi="Arial" w:cs="Arial"/>
          <w:sz w:val="20"/>
          <w:szCs w:val="20"/>
        </w:rPr>
        <w:t xml:space="preserve">cells per recipient) were </w:t>
      </w:r>
      <w:proofErr w:type="spellStart"/>
      <w:r w:rsidRPr="006441B6">
        <w:rPr>
          <w:rFonts w:ascii="Arial" w:hAnsi="Arial" w:cs="Arial"/>
          <w:sz w:val="20"/>
          <w:szCs w:val="20"/>
        </w:rPr>
        <w:t>i.v.</w:t>
      </w:r>
      <w:proofErr w:type="spellEnd"/>
      <w:r w:rsidRPr="006441B6">
        <w:rPr>
          <w:rFonts w:ascii="Arial" w:hAnsi="Arial" w:cs="Arial"/>
          <w:sz w:val="20"/>
          <w:szCs w:val="20"/>
        </w:rPr>
        <w:t xml:space="preserve"> transferred into mice at day 14 after B16-Ova melanoma engraftment. Sixty recipients were randomly divided into 3 groups as biological replicates in each sub-library screening. At 7 days after adoptive transfer, transferred Ametrine</w:t>
      </w:r>
      <w:r w:rsidRPr="006441B6">
        <w:rPr>
          <w:rFonts w:ascii="Arial" w:hAnsi="Arial" w:cs="Arial"/>
          <w:position w:val="12"/>
          <w:sz w:val="20"/>
          <w:szCs w:val="20"/>
        </w:rPr>
        <w:t xml:space="preserve">+ </w:t>
      </w:r>
      <w:r w:rsidRPr="006441B6">
        <w:rPr>
          <w:rFonts w:ascii="Arial" w:hAnsi="Arial" w:cs="Arial"/>
          <w:sz w:val="20"/>
          <w:szCs w:val="20"/>
        </w:rPr>
        <w:t>OT-I cells were recovered from the tumor pooled from 20 recipients per sample using a Reflection sorter (i-</w:t>
      </w:r>
      <w:proofErr w:type="spellStart"/>
      <w:r w:rsidRPr="006441B6">
        <w:rPr>
          <w:rFonts w:ascii="Arial" w:hAnsi="Arial" w:cs="Arial"/>
          <w:sz w:val="20"/>
          <w:szCs w:val="20"/>
        </w:rPr>
        <w:t>Cyt</w:t>
      </w:r>
      <w:proofErr w:type="spellEnd"/>
      <w:r w:rsidRPr="006441B6">
        <w:rPr>
          <w:rFonts w:ascii="Arial" w:hAnsi="Arial" w:cs="Arial"/>
          <w:sz w:val="20"/>
          <w:szCs w:val="20"/>
        </w:rPr>
        <w:t>). On average, 5 × 10</w:t>
      </w:r>
      <w:r w:rsidRPr="006441B6">
        <w:rPr>
          <w:rFonts w:ascii="Arial" w:hAnsi="Arial" w:cs="Arial"/>
          <w:position w:val="12"/>
          <w:sz w:val="20"/>
          <w:szCs w:val="20"/>
        </w:rPr>
        <w:t xml:space="preserve">5 </w:t>
      </w:r>
      <w:r w:rsidRPr="006441B6">
        <w:rPr>
          <w:rFonts w:ascii="Arial" w:hAnsi="Arial" w:cs="Arial"/>
          <w:sz w:val="20"/>
          <w:szCs w:val="20"/>
        </w:rPr>
        <w:t>OT-I cells per sample (~50 × cell coverage per sgRNA) were recovered for further analysis.</w:t>
      </w:r>
      <w:bookmarkStart w:id="0" w:name="_GoBack"/>
      <w:bookmarkEnd w:id="0"/>
    </w:p>
    <w:p w:rsidR="006441B6" w:rsidRPr="006441B6" w:rsidRDefault="006441B6" w:rsidP="000B5FC9">
      <w:pPr>
        <w:pStyle w:val="NormalWeb"/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6441B6" w:rsidRPr="006441B6" w:rsidRDefault="006441B6" w:rsidP="000B5FC9">
      <w:pPr>
        <w:spacing w:line="276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sectPr w:rsidR="006441B6" w:rsidRPr="006441B6" w:rsidSect="00A8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0129C"/>
    <w:multiLevelType w:val="multilevel"/>
    <w:tmpl w:val="16B0BC78"/>
    <w:lvl w:ilvl="0">
      <w:start w:val="5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2289B"/>
    <w:multiLevelType w:val="multilevel"/>
    <w:tmpl w:val="E490E8D4"/>
    <w:lvl w:ilvl="0">
      <w:start w:val="5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C53B0"/>
    <w:multiLevelType w:val="multilevel"/>
    <w:tmpl w:val="B33A5E3E"/>
    <w:lvl w:ilvl="0">
      <w:start w:val="5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9E0729"/>
    <w:multiLevelType w:val="multilevel"/>
    <w:tmpl w:val="E55241A4"/>
    <w:lvl w:ilvl="0">
      <w:start w:val="4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5E0E22"/>
    <w:multiLevelType w:val="multilevel"/>
    <w:tmpl w:val="A628C728"/>
    <w:lvl w:ilvl="0">
      <w:start w:val="5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B6"/>
    <w:rsid w:val="00015C98"/>
    <w:rsid w:val="00015F4F"/>
    <w:rsid w:val="00023C1E"/>
    <w:rsid w:val="0006073D"/>
    <w:rsid w:val="0006766B"/>
    <w:rsid w:val="0007464D"/>
    <w:rsid w:val="000A540E"/>
    <w:rsid w:val="000B5FC9"/>
    <w:rsid w:val="000C1B4C"/>
    <w:rsid w:val="000E7E3B"/>
    <w:rsid w:val="00110609"/>
    <w:rsid w:val="00126F07"/>
    <w:rsid w:val="00151F8B"/>
    <w:rsid w:val="0017692A"/>
    <w:rsid w:val="00177310"/>
    <w:rsid w:val="001B5780"/>
    <w:rsid w:val="001B761B"/>
    <w:rsid w:val="001D6E5F"/>
    <w:rsid w:val="00283C27"/>
    <w:rsid w:val="002E7A9D"/>
    <w:rsid w:val="002F4324"/>
    <w:rsid w:val="00331525"/>
    <w:rsid w:val="003902CB"/>
    <w:rsid w:val="003A23C6"/>
    <w:rsid w:val="003A33A5"/>
    <w:rsid w:val="003B6B02"/>
    <w:rsid w:val="00430B7A"/>
    <w:rsid w:val="004512D6"/>
    <w:rsid w:val="004528B0"/>
    <w:rsid w:val="00464C95"/>
    <w:rsid w:val="0047081F"/>
    <w:rsid w:val="004A7B15"/>
    <w:rsid w:val="004B3C3A"/>
    <w:rsid w:val="004B7F2B"/>
    <w:rsid w:val="004C63CE"/>
    <w:rsid w:val="00504AB6"/>
    <w:rsid w:val="005531F6"/>
    <w:rsid w:val="0059239E"/>
    <w:rsid w:val="00595CBA"/>
    <w:rsid w:val="005C439D"/>
    <w:rsid w:val="005C7AA8"/>
    <w:rsid w:val="005F6F40"/>
    <w:rsid w:val="00635467"/>
    <w:rsid w:val="006441B6"/>
    <w:rsid w:val="0067009A"/>
    <w:rsid w:val="006816A1"/>
    <w:rsid w:val="00683725"/>
    <w:rsid w:val="00696A88"/>
    <w:rsid w:val="006C63BC"/>
    <w:rsid w:val="0070624F"/>
    <w:rsid w:val="0073063D"/>
    <w:rsid w:val="00743F6C"/>
    <w:rsid w:val="00781E19"/>
    <w:rsid w:val="00795127"/>
    <w:rsid w:val="007A352C"/>
    <w:rsid w:val="007B3C18"/>
    <w:rsid w:val="007F4B83"/>
    <w:rsid w:val="00800E48"/>
    <w:rsid w:val="00810E2F"/>
    <w:rsid w:val="008376FC"/>
    <w:rsid w:val="00843255"/>
    <w:rsid w:val="008860B2"/>
    <w:rsid w:val="008D3151"/>
    <w:rsid w:val="008D5837"/>
    <w:rsid w:val="008F4BE8"/>
    <w:rsid w:val="00926B21"/>
    <w:rsid w:val="009314C6"/>
    <w:rsid w:val="0098479E"/>
    <w:rsid w:val="009C24DA"/>
    <w:rsid w:val="009C4631"/>
    <w:rsid w:val="009D370A"/>
    <w:rsid w:val="009E47C8"/>
    <w:rsid w:val="009F4ED7"/>
    <w:rsid w:val="00A14A7E"/>
    <w:rsid w:val="00A21FEB"/>
    <w:rsid w:val="00A61D33"/>
    <w:rsid w:val="00A67DAF"/>
    <w:rsid w:val="00A7695A"/>
    <w:rsid w:val="00A8361E"/>
    <w:rsid w:val="00A8446D"/>
    <w:rsid w:val="00A975DD"/>
    <w:rsid w:val="00AC18BB"/>
    <w:rsid w:val="00B0294C"/>
    <w:rsid w:val="00B21C7C"/>
    <w:rsid w:val="00B862AF"/>
    <w:rsid w:val="00BE458C"/>
    <w:rsid w:val="00C05897"/>
    <w:rsid w:val="00C07339"/>
    <w:rsid w:val="00C2749C"/>
    <w:rsid w:val="00C30355"/>
    <w:rsid w:val="00C360A6"/>
    <w:rsid w:val="00C5104B"/>
    <w:rsid w:val="00CA5883"/>
    <w:rsid w:val="00CF2F4E"/>
    <w:rsid w:val="00D93C7A"/>
    <w:rsid w:val="00D95A45"/>
    <w:rsid w:val="00DC4D43"/>
    <w:rsid w:val="00E06C52"/>
    <w:rsid w:val="00E3153F"/>
    <w:rsid w:val="00E33C1A"/>
    <w:rsid w:val="00E86EE8"/>
    <w:rsid w:val="00E9486F"/>
    <w:rsid w:val="00EA03DA"/>
    <w:rsid w:val="00EA0CFC"/>
    <w:rsid w:val="00EA425B"/>
    <w:rsid w:val="00EA497D"/>
    <w:rsid w:val="00ED2B95"/>
    <w:rsid w:val="00EE4B63"/>
    <w:rsid w:val="00F11D13"/>
    <w:rsid w:val="00F44F3D"/>
    <w:rsid w:val="00F54AC0"/>
    <w:rsid w:val="00F9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E4F6"/>
  <w14:defaultImageDpi w14:val="32767"/>
  <w15:chartTrackingRefBased/>
  <w15:docId w15:val="{83C46417-964B-3746-82F4-7CF215D9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1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8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3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5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6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5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1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reina campos</dc:creator>
  <cp:keywords/>
  <dc:description/>
  <cp:lastModifiedBy>miguel reina campos</cp:lastModifiedBy>
  <cp:revision>2</cp:revision>
  <dcterms:created xsi:type="dcterms:W3CDTF">2019-10-06T04:33:00Z</dcterms:created>
  <dcterms:modified xsi:type="dcterms:W3CDTF">2019-10-06T04:45:00Z</dcterms:modified>
</cp:coreProperties>
</file>