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wmf" ContentType="image/x-wmf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u w:val="single"/>
        </w:rPr>
        <w:t>6/21/07 batch of VSV-ova:     2*10</w:t>
      </w:r>
      <w:r>
        <w:rPr>
          <w:b/>
          <w:u w:val="single"/>
          <w:vertAlign w:val="superscript"/>
        </w:rPr>
        <w:t>9</w:t>
      </w:r>
      <w:r>
        <w:rPr>
          <w:b/>
          <w:u w:val="single"/>
        </w:rPr>
        <w:t xml:space="preserve"> pfu/ml 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>
          <w:sz w:val="16"/>
          <w:szCs w:val="16"/>
        </w:rPr>
        <w:t>ESTIMATED PRE-DILIUTION TITER:    2*10</w:t>
      </w:r>
      <w:r>
        <w:rPr>
          <w:sz w:val="16"/>
          <w:szCs w:val="16"/>
          <w:vertAlign w:val="superscript"/>
        </w:rPr>
        <w:t>10</w:t>
      </w:r>
      <w:r>
        <w:rPr>
          <w:sz w:val="16"/>
          <w:szCs w:val="16"/>
        </w:rPr>
        <w:t xml:space="preserve"> pfu/ml</w:t>
      </w:r>
    </w:p>
    <w:p>
      <w:pPr>
        <w:pStyle w:val="Normal"/>
        <w:rPr/>
      </w:pPr>
      <w:r>
        <w:rPr>
          <w:b/>
          <w:sz w:val="16"/>
          <w:szCs w:val="16"/>
        </w:rPr>
        <w:t>ESTIMATED POST-DILIUTION TITER:    2*10</w:t>
      </w:r>
      <w:r>
        <w:rPr>
          <w:b/>
          <w:sz w:val="16"/>
          <w:szCs w:val="16"/>
          <w:vertAlign w:val="superscript"/>
        </w:rPr>
        <w:t>9</w:t>
      </w:r>
      <w:r>
        <w:rPr>
          <w:b/>
          <w:sz w:val="16"/>
          <w:szCs w:val="16"/>
        </w:rPr>
        <w:t xml:space="preserve"> pfu/ml</w:t>
      </w:r>
    </w:p>
    <w:p>
      <w:pPr>
        <w:pStyle w:val="Normal"/>
        <w:rPr>
          <w:i/>
          <w:i/>
          <w:sz w:val="12"/>
          <w:szCs w:val="12"/>
        </w:rPr>
      </w:pPr>
      <w:r>
        <w:rPr>
          <w:i/>
          <w:sz w:val="12"/>
          <w:szCs w:val="12"/>
        </w:rPr>
        <w:t>(Because of the high titer, the original stock of VSV-ova virus was diluted 1:10 with PBS, thus, aliquots at -80 are all at 2*10</w:t>
      </w:r>
      <w:r>
        <w:rPr>
          <w:i/>
          <w:sz w:val="12"/>
          <w:szCs w:val="12"/>
          <w:vertAlign w:val="superscript"/>
        </w:rPr>
        <w:t>9</w:t>
      </w:r>
      <w:r>
        <w:rPr>
          <w:i/>
          <w:sz w:val="12"/>
          <w:szCs w:val="12"/>
        </w:rPr>
        <w:t xml:space="preserve"> PFU/ml.)              (With days in log scale;  late time-point included)</w:t>
      </w:r>
    </w:p>
    <w:p>
      <w:pPr>
        <w:pStyle w:val="Normal"/>
        <w:rPr/>
      </w:pPr>
      <w:r>
        <w:rPr/>
        <w:drawing>
          <wp:inline distT="0" distB="0" distL="0" distR="0">
            <wp:extent cx="2175510" cy="1327150"/>
            <wp:effectExtent l="0" t="0" r="0" b="0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1" distT="0" distB="0" distL="114935" distR="114935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228465" cy="2589530"/>
            <wp:effectExtent l="0" t="0" r="0" b="0"/>
            <wp:wrapTight wrapText="bothSides">
              <wp:wrapPolygon edited="0">
                <wp:start x="95" y="315"/>
                <wp:lineTo x="95" y="21200"/>
                <wp:lineTo x="21402" y="21200"/>
                <wp:lineTo x="21402" y="315"/>
                <wp:lineTo x="95" y="315"/>
              </wp:wrapPolygon>
            </wp:wrapTight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16"/>
          <w:szCs w:val="16"/>
          <w:u w:val="single"/>
        </w:rPr>
        <w:t>Injection of 10</w:t>
      </w:r>
      <w:r>
        <w:rPr>
          <w:sz w:val="16"/>
          <w:szCs w:val="16"/>
          <w:u w:val="single"/>
          <w:vertAlign w:val="superscript"/>
        </w:rPr>
        <w:t>5</w:t>
      </w:r>
      <w:r>
        <w:rPr>
          <w:sz w:val="16"/>
          <w:szCs w:val="16"/>
          <w:u w:val="single"/>
        </w:rPr>
        <w:t xml:space="preserve"> PFU of VSV-ova yields good CD8+ T cell response</w:t>
      </w:r>
      <w:r>
        <w:rPr>
          <w:sz w:val="16"/>
          <w:szCs w:val="16"/>
        </w:rPr>
        <w:t>.  Mice were adoptively transferred with 40,000 OT-1 T cells.  Approximately 6 weeks later, mice were infected intravenously with the indicated amount of VSV-ova.   PBL was collected at the times indicated, and donor OT-1 cells were identified by flow cytometric analysis of CD8 and CD45.1 expression.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b/>
          <w:b/>
          <w:sz w:val="16"/>
          <w:szCs w:val="16"/>
        </w:rPr>
      </w:pPr>
      <w:bookmarkStart w:id="0" w:name="OLE_LINK1"/>
      <w:bookmarkEnd w:id="0"/>
      <w:r>
        <w:rPr>
          <w:b/>
          <w:sz w:val="16"/>
          <w:szCs w:val="16"/>
        </w:rPr>
        <w:t>Raw data for main titer of 6/21/07 VSV-ova batch:</w:t>
      </w:r>
    </w:p>
    <w:tbl>
      <w:tblPr>
        <w:tblW w:w="3888" w:type="dxa"/>
        <w:jc w:val="left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794"/>
        <w:gridCol w:w="683"/>
        <w:gridCol w:w="1555"/>
      </w:tblGrid>
      <w:tr>
        <w:trPr/>
        <w:tc>
          <w:tcPr>
            <w:tcW w:w="85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number:</w:t>
            </w:r>
          </w:p>
        </w:tc>
        <w:tc>
          <w:tcPr>
            <w:tcW w:w="79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dilution</w:t>
            </w:r>
          </w:p>
        </w:tc>
        <w:tc>
          <w:tcPr>
            <w:tcW w:w="6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% lysed</w:t>
            </w:r>
          </w:p>
        </w:tc>
        <w:tc>
          <w:tcPr>
            <w:tcW w:w="155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# of wells lysed/total wells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4*10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8*10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1.6*10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3.2*10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6.4*10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1.3*10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2.5*10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5.0*10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1.0*10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2.0*10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75%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9/12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4.0*10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75%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9/12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8.0*10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50%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6/12</w:t>
            </w:r>
          </w:p>
        </w:tc>
      </w:tr>
      <w:tr>
        <w:trPr/>
        <w:tc>
          <w:tcPr>
            <w:tcW w:w="856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1.6*10</w:t>
            </w:r>
            <w:r>
              <w:rPr>
                <w:rFonts w:cs="Arial" w:ascii="Arial" w:hAnsi="Arial"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33%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4/12</w:t>
            </w:r>
          </w:p>
        </w:tc>
      </w:tr>
    </w:tbl>
    <w:p>
      <w:pPr>
        <w:pStyle w:val="Normal"/>
        <w:rPr>
          <w:i/>
          <w:i/>
          <w:sz w:val="8"/>
          <w:szCs w:val="8"/>
        </w:rPr>
      </w:pPr>
      <w:r>
        <w:rPr>
          <w:i/>
          <w:sz w:val="8"/>
          <w:szCs w:val="8"/>
        </w:rPr>
        <w:t xml:space="preserve">(See Kitty/Mark for details; briefy, BHK cells were plated in 96-well-flat bottom plates in 200ul;  </w:t>
      </w:r>
    </w:p>
    <w:p>
      <w:pPr>
        <w:pStyle w:val="Normal"/>
        <w:rPr>
          <w:i/>
          <w:i/>
          <w:sz w:val="12"/>
          <w:szCs w:val="12"/>
        </w:rPr>
      </w:pPr>
      <w:r>
        <w:rPr>
          <w:i/>
          <w:sz w:val="8"/>
          <w:szCs w:val="8"/>
        </w:rPr>
        <w:t>undiluted virus was added at the indicated concentrations, and percentage of cells with lysed cells was counted 3-7 days later.)</w:t>
      </w:r>
    </w:p>
    <w:p>
      <w:pPr>
        <w:pStyle w:val="Normal"/>
        <w:rPr>
          <w:i/>
          <w:i/>
          <w:sz w:val="12"/>
          <w:szCs w:val="12"/>
        </w:rPr>
      </w:pPr>
      <w:r>
        <w:rPr>
          <w:i/>
          <w:sz w:val="12"/>
          <w:szCs w:val="12"/>
        </w:rPr>
      </w:r>
    </w:p>
    <w:p>
      <w:pPr>
        <w:pStyle w:val="Normal"/>
        <w:rPr>
          <w:i/>
          <w:i/>
          <w:sz w:val="12"/>
          <w:szCs w:val="12"/>
        </w:rPr>
      </w:pPr>
      <w:r>
        <w:rPr>
          <w:i/>
          <w:sz w:val="12"/>
          <w:szCs w:val="12"/>
        </w:rPr>
      </w:r>
    </w:p>
    <w:p>
      <w:pPr>
        <w:pStyle w:val="Normal"/>
        <w:rPr>
          <w:i/>
          <w:i/>
          <w:sz w:val="12"/>
          <w:szCs w:val="12"/>
        </w:rPr>
      </w:pPr>
      <w:r>
        <w:rPr>
          <w:i/>
          <w:sz w:val="12"/>
          <w:szCs w:val="12"/>
        </w:rPr>
      </w:r>
    </w:p>
    <w:p>
      <w:pPr>
        <w:pStyle w:val="Normal"/>
        <w:rPr/>
      </w:pPr>
      <w:r>
        <w:rPr>
          <w:b/>
          <w:sz w:val="16"/>
          <w:szCs w:val="16"/>
        </w:rPr>
        <w:t>Key for preparing 1*10</w:t>
      </w:r>
      <w:r>
        <w:rPr>
          <w:b/>
          <w:sz w:val="16"/>
          <w:szCs w:val="16"/>
          <w:vertAlign w:val="superscript"/>
        </w:rPr>
        <w:t>5</w:t>
      </w:r>
      <w:r>
        <w:rPr>
          <w:b/>
          <w:sz w:val="16"/>
          <w:szCs w:val="16"/>
        </w:rPr>
        <w:t xml:space="preserve"> per mouse VSV-ova injections with 2*10</w:t>
      </w:r>
      <w:r>
        <w:rPr>
          <w:b/>
          <w:sz w:val="16"/>
          <w:szCs w:val="16"/>
          <w:vertAlign w:val="superscript"/>
        </w:rPr>
        <w:t>9</w:t>
      </w:r>
      <w:r>
        <w:rPr>
          <w:b/>
          <w:sz w:val="16"/>
          <w:szCs w:val="16"/>
        </w:rPr>
        <w:t>/ml titer aliquots:</w:t>
      </w:r>
      <w:r>
        <w:rPr/>
        <w:t>:</w:t>
      </w:r>
    </w:p>
    <w:tbl>
      <w:tblPr>
        <w:tblW w:w="5868" w:type="dxa"/>
        <w:jc w:val="left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1440"/>
        <w:gridCol w:w="1620"/>
      </w:tblGrid>
      <w:tr>
        <w:trPr/>
        <w:tc>
          <w:tcPr>
            <w:tcW w:w="1368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volume</w:t>
            </w:r>
          </w:p>
        </w:tc>
        <w:tc>
          <w:tcPr>
            <w:tcW w:w="14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 200ul per injection</w:t>
            </w:r>
          </w:p>
        </w:tc>
        <w:tc>
          <w:tcPr>
            <w:tcW w:w="144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 250ul per injection</w:t>
            </w:r>
          </w:p>
        </w:tc>
        <w:tc>
          <w:tcPr>
            <w:tcW w:w="1620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 300ul per injection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</w:rPr>
              <w:t>10ml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2.5ul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2ul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1.7ul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20ml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5ul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4ul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30ml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7.5ul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6ul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40ml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10ul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8ul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6.7ul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50ml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12.5ul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10ul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8.3ul</w:t>
            </w:r>
          </w:p>
        </w:tc>
      </w:tr>
    </w:tbl>
    <w:p>
      <w:pPr>
        <w:pStyle w:val="Normal"/>
        <w:rPr>
          <w:i/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</w:p>
    <w:p>
      <w:pPr>
        <w:pStyle w:val="Normal"/>
        <w:rPr/>
      </w:pPr>
      <w:r>
        <w:rPr>
          <w:i/>
          <w:sz w:val="18"/>
          <w:szCs w:val="18"/>
        </w:rPr>
        <w:t xml:space="preserve">VSV-OVA aliquots are stored in the -80 freezer;  each vial has a </w:t>
      </w:r>
      <w:r>
        <w:rPr>
          <w:i/>
          <w:color w:val="0000FF"/>
          <w:sz w:val="18"/>
          <w:szCs w:val="18"/>
        </w:rPr>
        <w:t>blue</w:t>
      </w:r>
      <w:r>
        <w:rPr>
          <w:i/>
          <w:sz w:val="18"/>
          <w:szCs w:val="18"/>
        </w:rPr>
        <w:t xml:space="preserve"> dot and </w:t>
      </w:r>
      <w:r>
        <w:rPr>
          <w:i/>
          <w:color w:val="FF6600"/>
          <w:sz w:val="18"/>
          <w:szCs w:val="18"/>
        </w:rPr>
        <w:t>orange</w:t>
      </w:r>
      <w:r>
        <w:rPr>
          <w:i/>
          <w:sz w:val="18"/>
          <w:szCs w:val="18"/>
        </w:rPr>
        <w:t xml:space="preserve"> ring on the lid; </w:t>
      </w:r>
    </w:p>
    <w:p>
      <w:pPr>
        <w:pStyle w:val="Normal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each aliquot is intended for one use so please do not refreeze.</w:t>
      </w:r>
    </w:p>
    <w:sectPr>
      <w:footerReference w:type="defaul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  <w:szCs w:val="16"/>
      </w:rPr>
      <w:tab/>
      <w:t xml:space="preserve">                                                                                         Goldrath Laboratory – 6/21/07 VSV-ova </w:t>
    </w:r>
  </w:p>
</w:ft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2007-09-27T23:25:00Z</dcterms:created>
  <dc:creator>M</dc:creator>
  <dc:description/>
  <cp:keywords/>
  <dc:language>en-US</dc:language>
  <cp:lastModifiedBy>M</cp:lastModifiedBy>
  <cp:lastPrinted>2007-09-25T10:56:00Z</cp:lastPrinted>
  <dcterms:modified xsi:type="dcterms:W3CDTF">2007-09-27T23:25:00Z</dcterms:modified>
  <cp:revision>2</cp:revision>
  <dc:subject/>
  <dc:title>PRELIMINARY VSV-OVA TITER RESULTS – 6/24/07</dc:title>
</cp:coreProperties>
</file>