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228450" w14:textId="5691B448" w:rsidR="00217C16" w:rsidRDefault="00217C16" w:rsidP="00217C16">
      <w:pPr>
        <w:spacing w:line="276" w:lineRule="auto"/>
        <w:jc w:val="center"/>
        <w:rPr>
          <w:rFonts w:ascii="Arial" w:eastAsia="Times New Roman" w:hAnsi="Arial" w:cs="Arial"/>
          <w:b/>
          <w:bCs/>
          <w:u w:val="single"/>
        </w:rPr>
      </w:pPr>
      <w:r w:rsidRPr="00217C16">
        <w:rPr>
          <w:rFonts w:ascii="Arial" w:eastAsia="Times New Roman" w:hAnsi="Arial" w:cs="Arial"/>
          <w:b/>
          <w:bCs/>
          <w:i/>
          <w:iCs/>
          <w:u w:val="single"/>
        </w:rPr>
        <w:t>Ex vivo</w:t>
      </w:r>
      <w:r w:rsidRPr="00217C16">
        <w:rPr>
          <w:rFonts w:ascii="Arial" w:eastAsia="Times New Roman" w:hAnsi="Arial" w:cs="Arial"/>
          <w:b/>
          <w:bCs/>
          <w:u w:val="single"/>
        </w:rPr>
        <w:t> peptide re-stimulation to assess cytokine production by antigen-specific CD8 T cells</w:t>
      </w:r>
    </w:p>
    <w:p w14:paraId="2EBE1662" w14:textId="18A04CFB" w:rsidR="00217C16" w:rsidRPr="00217C16" w:rsidRDefault="00217C16" w:rsidP="00217C16">
      <w:pPr>
        <w:spacing w:line="276" w:lineRule="auto"/>
        <w:jc w:val="center"/>
        <w:rPr>
          <w:rFonts w:ascii="Arial" w:eastAsia="Times New Roman" w:hAnsi="Arial" w:cs="Arial"/>
        </w:rPr>
      </w:pPr>
      <w:r w:rsidRPr="00217C16">
        <w:rPr>
          <w:rFonts w:ascii="Arial" w:eastAsia="Times New Roman" w:hAnsi="Arial" w:cs="Arial"/>
        </w:rPr>
        <w:t>LLB 2020</w:t>
      </w:r>
    </w:p>
    <w:p w14:paraId="4F70C2D6" w14:textId="77777777" w:rsidR="00217C16" w:rsidRPr="00217C16" w:rsidRDefault="00217C16" w:rsidP="00217C16">
      <w:pPr>
        <w:spacing w:line="276" w:lineRule="auto"/>
        <w:rPr>
          <w:rFonts w:ascii="Arial" w:eastAsia="Times New Roman" w:hAnsi="Arial" w:cs="Arial"/>
        </w:rPr>
      </w:pPr>
    </w:p>
    <w:p w14:paraId="0E3AE701" w14:textId="409F8068" w:rsidR="00217C16" w:rsidRPr="00217C16" w:rsidRDefault="00217C16" w:rsidP="00217C16">
      <w:pPr>
        <w:pStyle w:val="ListParagraph"/>
        <w:numPr>
          <w:ilvl w:val="0"/>
          <w:numId w:val="1"/>
        </w:numPr>
        <w:spacing w:line="276" w:lineRule="auto"/>
        <w:rPr>
          <w:rFonts w:ascii="Arial" w:eastAsia="Times New Roman" w:hAnsi="Arial" w:cs="Arial"/>
        </w:rPr>
      </w:pPr>
      <w:r w:rsidRPr="00217C16">
        <w:rPr>
          <w:rFonts w:ascii="Arial" w:eastAsia="Times New Roman" w:hAnsi="Arial" w:cs="Arial"/>
        </w:rPr>
        <w:t xml:space="preserve">Whole splenocytes (whole blood or tissue) </w:t>
      </w:r>
      <w:r>
        <w:rPr>
          <w:rFonts w:ascii="Arial" w:eastAsia="Times New Roman" w:hAnsi="Arial" w:cs="Arial"/>
        </w:rPr>
        <w:t xml:space="preserve">- </w:t>
      </w:r>
      <w:r w:rsidRPr="00217C16">
        <w:rPr>
          <w:rFonts w:ascii="Arial" w:eastAsia="Times New Roman" w:hAnsi="Arial" w:cs="Arial"/>
        </w:rPr>
        <w:t>maximum concentration of 1x10^7 cells/ml (I plate 2x10^6 cells in 200ul).</w:t>
      </w:r>
      <w:r w:rsidRPr="00217C16">
        <w:rPr>
          <w:rFonts w:ascii="Arial" w:eastAsia="Times New Roman" w:hAnsi="Arial" w:cs="Arial"/>
        </w:rPr>
        <w:t xml:space="preserve"> </w:t>
      </w:r>
      <w:r w:rsidRPr="00217C16">
        <w:rPr>
          <w:rFonts w:ascii="Arial" w:eastAsia="Times New Roman" w:hAnsi="Arial" w:cs="Arial"/>
        </w:rPr>
        <w:t>Doing a higher concentration won't work.</w:t>
      </w:r>
    </w:p>
    <w:p w14:paraId="0401DA9B" w14:textId="77777777" w:rsidR="00217C16" w:rsidRDefault="00217C16" w:rsidP="00217C16">
      <w:pPr>
        <w:pStyle w:val="ListParagraph"/>
        <w:numPr>
          <w:ilvl w:val="0"/>
          <w:numId w:val="1"/>
        </w:numPr>
        <w:spacing w:line="276" w:lineRule="auto"/>
        <w:rPr>
          <w:rFonts w:ascii="Arial" w:eastAsia="Times New Roman" w:hAnsi="Arial" w:cs="Arial"/>
        </w:rPr>
      </w:pPr>
      <w:r w:rsidRPr="00217C16">
        <w:rPr>
          <w:rFonts w:ascii="Arial" w:eastAsia="Times New Roman" w:hAnsi="Arial" w:cs="Arial"/>
        </w:rPr>
        <w:t>Re-suspend cells in</w:t>
      </w:r>
      <w:r>
        <w:rPr>
          <w:rFonts w:ascii="Arial" w:eastAsia="Times New Roman" w:hAnsi="Arial" w:cs="Arial"/>
        </w:rPr>
        <w:t>:</w:t>
      </w:r>
    </w:p>
    <w:p w14:paraId="521A567E" w14:textId="65D11249" w:rsidR="00217C16" w:rsidRPr="00217C16" w:rsidRDefault="00217C16" w:rsidP="00217C16">
      <w:pPr>
        <w:pStyle w:val="ListParagraph"/>
        <w:numPr>
          <w:ilvl w:val="1"/>
          <w:numId w:val="1"/>
        </w:numPr>
        <w:spacing w:line="276" w:lineRule="auto"/>
        <w:rPr>
          <w:rFonts w:ascii="Arial" w:eastAsia="Times New Roman" w:hAnsi="Arial" w:cs="Arial"/>
        </w:rPr>
      </w:pPr>
      <w:r w:rsidRPr="00217C16">
        <w:rPr>
          <w:rFonts w:ascii="Arial" w:eastAsia="Times New Roman" w:hAnsi="Arial" w:cs="Arial"/>
          <w:b/>
          <w:bCs/>
        </w:rPr>
        <w:t>TCM +</w:t>
      </w:r>
      <w:r w:rsidRPr="00217C16">
        <w:rPr>
          <w:rFonts w:ascii="Arial" w:eastAsia="Times New Roman" w:hAnsi="Arial" w:cs="Arial"/>
          <w:b/>
          <w:bCs/>
        </w:rPr>
        <w:t xml:space="preserve"> 1ug/ml of GP33-41 peptide + </w:t>
      </w:r>
      <w:proofErr w:type="spellStart"/>
      <w:r w:rsidR="005F1F19">
        <w:rPr>
          <w:rFonts w:ascii="Arial" w:eastAsia="Times New Roman" w:hAnsi="Arial" w:cs="Arial"/>
          <w:b/>
          <w:bCs/>
        </w:rPr>
        <w:t>GolgiPlug</w:t>
      </w:r>
      <w:proofErr w:type="spellEnd"/>
      <w:r w:rsidR="005F1F19">
        <w:rPr>
          <w:rFonts w:ascii="Arial" w:eastAsia="Times New Roman" w:hAnsi="Arial" w:cs="Arial"/>
          <w:b/>
          <w:bCs/>
        </w:rPr>
        <w:t xml:space="preserve"> (1:1000)</w:t>
      </w:r>
      <w:r w:rsidRPr="00217C16">
        <w:rPr>
          <w:rFonts w:ascii="Arial" w:eastAsia="Times New Roman" w:hAnsi="Arial" w:cs="Arial"/>
          <w:b/>
          <w:bCs/>
        </w:rPr>
        <w:t> + 1:100 of anti-CD107a</w:t>
      </w:r>
      <w:r w:rsidRPr="00217C16">
        <w:rPr>
          <w:rFonts w:ascii="Arial" w:eastAsia="Times New Roman" w:hAnsi="Arial" w:cs="Arial"/>
        </w:rPr>
        <w:t xml:space="preserve"> (conjugated to your preferred fluorophore) and incubate at 37C for 5h.</w:t>
      </w:r>
    </w:p>
    <w:p w14:paraId="04BCC13F" w14:textId="1A42EAD0" w:rsidR="00217C16" w:rsidRPr="00217C16" w:rsidRDefault="00217C16" w:rsidP="00217C16">
      <w:pPr>
        <w:pStyle w:val="ListParagraph"/>
        <w:numPr>
          <w:ilvl w:val="1"/>
          <w:numId w:val="1"/>
        </w:numPr>
        <w:spacing w:line="276" w:lineRule="auto"/>
        <w:rPr>
          <w:rFonts w:ascii="Arial" w:eastAsia="Times New Roman" w:hAnsi="Arial" w:cs="Arial"/>
        </w:rPr>
      </w:pPr>
      <w:r w:rsidRPr="00217C16">
        <w:rPr>
          <w:rFonts w:ascii="Arial" w:eastAsia="Times New Roman" w:hAnsi="Arial" w:cs="Arial"/>
        </w:rPr>
        <w:t>M</w:t>
      </w:r>
      <w:r w:rsidRPr="00217C16">
        <w:rPr>
          <w:rFonts w:ascii="Arial" w:eastAsia="Times New Roman" w:hAnsi="Arial" w:cs="Arial"/>
        </w:rPr>
        <w:t>ake the negative control</w:t>
      </w:r>
      <w:r>
        <w:rPr>
          <w:rFonts w:ascii="Arial" w:eastAsia="Times New Roman" w:hAnsi="Arial" w:cs="Arial"/>
        </w:rPr>
        <w:t xml:space="preserve"> (no peptide)</w:t>
      </w:r>
      <w:r w:rsidRPr="00217C16">
        <w:rPr>
          <w:rFonts w:ascii="Arial" w:eastAsia="Times New Roman" w:hAnsi="Arial" w:cs="Arial"/>
        </w:rPr>
        <w:t xml:space="preserve"> </w:t>
      </w:r>
      <w:r w:rsidRPr="00217C16">
        <w:rPr>
          <w:rFonts w:ascii="Arial" w:eastAsia="Times New Roman" w:hAnsi="Arial" w:cs="Arial"/>
        </w:rPr>
        <w:t>by</w:t>
      </w:r>
      <w:r w:rsidRPr="00217C16">
        <w:rPr>
          <w:rFonts w:ascii="Arial" w:eastAsia="Times New Roman" w:hAnsi="Arial" w:cs="Arial"/>
        </w:rPr>
        <w:t xml:space="preserve"> pool</w:t>
      </w:r>
      <w:r w:rsidRPr="00217C16">
        <w:rPr>
          <w:rFonts w:ascii="Arial" w:eastAsia="Times New Roman" w:hAnsi="Arial" w:cs="Arial"/>
        </w:rPr>
        <w:t>ing</w:t>
      </w:r>
      <w:r w:rsidRPr="00217C16">
        <w:rPr>
          <w:rFonts w:ascii="Arial" w:eastAsia="Times New Roman" w:hAnsi="Arial" w:cs="Arial"/>
        </w:rPr>
        <w:t xml:space="preserve"> a little bit of cells from all samples</w:t>
      </w:r>
      <w:r>
        <w:rPr>
          <w:rFonts w:ascii="Arial" w:eastAsia="Times New Roman" w:hAnsi="Arial" w:cs="Arial"/>
        </w:rPr>
        <w:t>:</w:t>
      </w:r>
      <w:r w:rsidRPr="00217C16">
        <w:rPr>
          <w:rFonts w:ascii="Arial" w:eastAsia="Times New Roman" w:hAnsi="Arial" w:cs="Arial"/>
        </w:rPr>
        <w:t xml:space="preserve"> </w:t>
      </w:r>
      <w:r w:rsidRPr="00217C16">
        <w:rPr>
          <w:rFonts w:ascii="Arial" w:eastAsia="Times New Roman" w:hAnsi="Arial" w:cs="Arial"/>
          <w:b/>
          <w:bCs/>
        </w:rPr>
        <w:t>TCM + 1ug/ml Brefeldin A + 1:100 of anti-CD107a</w:t>
      </w:r>
    </w:p>
    <w:p w14:paraId="64F35D65" w14:textId="77777777" w:rsidR="00217C16" w:rsidRDefault="00217C16" w:rsidP="00217C16">
      <w:pPr>
        <w:pStyle w:val="ListParagraph"/>
        <w:numPr>
          <w:ilvl w:val="0"/>
          <w:numId w:val="1"/>
        </w:numPr>
        <w:spacing w:line="276" w:lineRule="auto"/>
        <w:rPr>
          <w:rFonts w:ascii="Arial" w:eastAsia="Times New Roman" w:hAnsi="Arial" w:cs="Arial"/>
        </w:rPr>
      </w:pPr>
      <w:r w:rsidRPr="00217C16">
        <w:rPr>
          <w:rFonts w:ascii="Arial" w:eastAsia="Times New Roman" w:hAnsi="Arial" w:cs="Arial"/>
        </w:rPr>
        <w:t>After 5h</w:t>
      </w:r>
      <w:r>
        <w:rPr>
          <w:rFonts w:ascii="Arial" w:eastAsia="Times New Roman" w:hAnsi="Arial" w:cs="Arial"/>
        </w:rPr>
        <w:t>;</w:t>
      </w:r>
    </w:p>
    <w:p w14:paraId="49B4A7AF" w14:textId="6A5A28EC" w:rsidR="00217C16" w:rsidRDefault="00217C16" w:rsidP="00217C16">
      <w:pPr>
        <w:pStyle w:val="ListParagraph"/>
        <w:numPr>
          <w:ilvl w:val="1"/>
          <w:numId w:val="1"/>
        </w:numPr>
        <w:spacing w:line="276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</w:t>
      </w:r>
      <w:r w:rsidRPr="00217C16">
        <w:rPr>
          <w:rFonts w:ascii="Arial" w:eastAsia="Times New Roman" w:hAnsi="Arial" w:cs="Arial"/>
        </w:rPr>
        <w:t>pin down flick to remove supernatant</w:t>
      </w:r>
    </w:p>
    <w:p w14:paraId="21B50562" w14:textId="77777777" w:rsidR="00217C16" w:rsidRDefault="00217C16" w:rsidP="00217C16">
      <w:pPr>
        <w:pStyle w:val="ListParagraph"/>
        <w:numPr>
          <w:ilvl w:val="1"/>
          <w:numId w:val="1"/>
        </w:numPr>
        <w:spacing w:line="276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</w:t>
      </w:r>
      <w:r w:rsidRPr="00217C16">
        <w:rPr>
          <w:rFonts w:ascii="Arial" w:eastAsia="Times New Roman" w:hAnsi="Arial" w:cs="Arial"/>
        </w:rPr>
        <w:t xml:space="preserve">tain with live/dead stain + anti-CD8 (and congenic markers </w:t>
      </w:r>
      <w:proofErr w:type="spellStart"/>
      <w:r w:rsidRPr="00217C16">
        <w:rPr>
          <w:rFonts w:ascii="Arial" w:eastAsia="Times New Roman" w:hAnsi="Arial" w:cs="Arial"/>
        </w:rPr>
        <w:t>etc</w:t>
      </w:r>
      <w:proofErr w:type="spellEnd"/>
      <w:r w:rsidRPr="00217C16">
        <w:rPr>
          <w:rFonts w:ascii="Arial" w:eastAsia="Times New Roman" w:hAnsi="Arial" w:cs="Arial"/>
        </w:rPr>
        <w:t>) in PBS1x for 10-15min at RT.</w:t>
      </w:r>
    </w:p>
    <w:p w14:paraId="584E43FC" w14:textId="730E4DBC" w:rsidR="00217C16" w:rsidRPr="00217C16" w:rsidRDefault="00217C16" w:rsidP="00217C16">
      <w:pPr>
        <w:pStyle w:val="ListParagraph"/>
        <w:numPr>
          <w:ilvl w:val="1"/>
          <w:numId w:val="1"/>
        </w:numPr>
        <w:spacing w:line="276" w:lineRule="auto"/>
        <w:rPr>
          <w:rFonts w:ascii="Arial" w:eastAsia="Times New Roman" w:hAnsi="Arial" w:cs="Arial"/>
        </w:rPr>
      </w:pPr>
      <w:r w:rsidRPr="00217C16">
        <w:rPr>
          <w:rFonts w:ascii="Arial" w:eastAsia="Times New Roman" w:hAnsi="Arial" w:cs="Arial"/>
        </w:rPr>
        <w:t xml:space="preserve">Wash and re-suspend in </w:t>
      </w:r>
      <w:proofErr w:type="spellStart"/>
      <w:r>
        <w:rPr>
          <w:rFonts w:ascii="Arial" w:eastAsia="Times New Roman" w:hAnsi="Arial" w:cs="Arial"/>
        </w:rPr>
        <w:t>Cytofix</w:t>
      </w:r>
      <w:proofErr w:type="spellEnd"/>
      <w:r>
        <w:rPr>
          <w:rFonts w:ascii="Arial" w:eastAsia="Times New Roman" w:hAnsi="Arial" w:cs="Arial"/>
        </w:rPr>
        <w:t>/</w:t>
      </w:r>
      <w:proofErr w:type="spellStart"/>
      <w:r>
        <w:rPr>
          <w:rFonts w:ascii="Arial" w:eastAsia="Times New Roman" w:hAnsi="Arial" w:cs="Arial"/>
        </w:rPr>
        <w:t>Cytoperm</w:t>
      </w:r>
      <w:proofErr w:type="spellEnd"/>
      <w:r>
        <w:rPr>
          <w:rFonts w:ascii="Arial" w:eastAsia="Times New Roman" w:hAnsi="Arial" w:cs="Arial"/>
        </w:rPr>
        <w:t xml:space="preserve"> (BD kit) 20 min @4C (in the fridge).</w:t>
      </w:r>
    </w:p>
    <w:p w14:paraId="1A8B0212" w14:textId="13804E70" w:rsidR="00217C16" w:rsidRPr="00217C16" w:rsidRDefault="00217C16" w:rsidP="00217C16">
      <w:pPr>
        <w:pStyle w:val="ListParagraph"/>
        <w:numPr>
          <w:ilvl w:val="0"/>
          <w:numId w:val="1"/>
        </w:numPr>
        <w:spacing w:line="276" w:lineRule="auto"/>
        <w:rPr>
          <w:rFonts w:ascii="Arial" w:eastAsia="Times New Roman" w:hAnsi="Arial" w:cs="Arial"/>
        </w:rPr>
      </w:pPr>
      <w:r w:rsidRPr="00217C16">
        <w:rPr>
          <w:rFonts w:ascii="Arial" w:eastAsia="Times New Roman" w:hAnsi="Arial" w:cs="Arial"/>
        </w:rPr>
        <w:t xml:space="preserve">Wash off fix, and </w:t>
      </w:r>
      <w:r>
        <w:rPr>
          <w:rFonts w:ascii="Arial" w:eastAsia="Times New Roman" w:hAnsi="Arial" w:cs="Arial"/>
        </w:rPr>
        <w:t>resuspend in FACS buffer</w:t>
      </w:r>
      <w:r w:rsidRPr="00217C16">
        <w:rPr>
          <w:rFonts w:ascii="Arial" w:eastAsia="Times New Roman" w:hAnsi="Arial" w:cs="Arial"/>
        </w:rPr>
        <w:t>.</w:t>
      </w:r>
      <w:r>
        <w:rPr>
          <w:rFonts w:ascii="Arial" w:eastAsia="Times New Roman" w:hAnsi="Arial" w:cs="Arial"/>
        </w:rPr>
        <w:t xml:space="preserve"> *</w:t>
      </w:r>
      <w:r w:rsidRPr="00217C16">
        <w:rPr>
          <w:rFonts w:ascii="Arial" w:eastAsia="Times New Roman" w:hAnsi="Arial" w:cs="Arial"/>
        </w:rPr>
        <w:t>Cells can be left in the fridge overnight (or for 2-3 days until acquisition).</w:t>
      </w:r>
    </w:p>
    <w:p w14:paraId="61DB2183" w14:textId="274CD4E8" w:rsidR="00217C16" w:rsidRPr="00217C16" w:rsidRDefault="00217C16" w:rsidP="00217C16">
      <w:pPr>
        <w:pStyle w:val="ListParagraph"/>
        <w:numPr>
          <w:ilvl w:val="0"/>
          <w:numId w:val="1"/>
        </w:numPr>
        <w:spacing w:line="276" w:lineRule="auto"/>
        <w:rPr>
          <w:rFonts w:ascii="Arial" w:eastAsia="Times New Roman" w:hAnsi="Arial" w:cs="Arial"/>
        </w:rPr>
      </w:pPr>
      <w:r w:rsidRPr="00217C16">
        <w:rPr>
          <w:rFonts w:ascii="Arial" w:eastAsia="Times New Roman" w:hAnsi="Arial" w:cs="Arial"/>
        </w:rPr>
        <w:t>On the day of acquisition, spin down and remove PBS/</w:t>
      </w:r>
      <w:proofErr w:type="spellStart"/>
      <w:r w:rsidRPr="00217C16">
        <w:rPr>
          <w:rFonts w:ascii="Arial" w:eastAsia="Times New Roman" w:hAnsi="Arial" w:cs="Arial"/>
        </w:rPr>
        <w:t>facs</w:t>
      </w:r>
      <w:proofErr w:type="spellEnd"/>
      <w:r w:rsidRPr="00217C16">
        <w:rPr>
          <w:rFonts w:ascii="Arial" w:eastAsia="Times New Roman" w:hAnsi="Arial" w:cs="Arial"/>
        </w:rPr>
        <w:t xml:space="preserve"> buffer.</w:t>
      </w:r>
    </w:p>
    <w:p w14:paraId="661A988B" w14:textId="77777777" w:rsidR="00217C16" w:rsidRDefault="00217C16" w:rsidP="00217C16">
      <w:pPr>
        <w:pStyle w:val="ListParagraph"/>
        <w:numPr>
          <w:ilvl w:val="0"/>
          <w:numId w:val="1"/>
        </w:numPr>
        <w:spacing w:line="276" w:lineRule="auto"/>
        <w:rPr>
          <w:rFonts w:ascii="Arial" w:eastAsia="Times New Roman" w:hAnsi="Arial" w:cs="Arial"/>
        </w:rPr>
      </w:pPr>
      <w:r w:rsidRPr="00217C16">
        <w:rPr>
          <w:rFonts w:ascii="Arial" w:eastAsia="Times New Roman" w:hAnsi="Arial" w:cs="Arial"/>
        </w:rPr>
        <w:t xml:space="preserve">Re-suspend cells in </w:t>
      </w:r>
      <w:r>
        <w:rPr>
          <w:rFonts w:ascii="Arial" w:eastAsia="Times New Roman" w:hAnsi="Arial" w:cs="Arial"/>
        </w:rPr>
        <w:t>Perm Buffer 1X (</w:t>
      </w:r>
      <w:proofErr w:type="spellStart"/>
      <w:r>
        <w:rPr>
          <w:rFonts w:ascii="Arial" w:eastAsia="Times New Roman" w:hAnsi="Arial" w:cs="Arial"/>
        </w:rPr>
        <w:t>eBioscience</w:t>
      </w:r>
      <w:proofErr w:type="spellEnd"/>
      <w:r>
        <w:rPr>
          <w:rFonts w:ascii="Arial" w:eastAsia="Times New Roman" w:hAnsi="Arial" w:cs="Arial"/>
        </w:rPr>
        <w:t xml:space="preserve"> kit/FoxP3 kit)</w:t>
      </w:r>
      <w:r w:rsidRPr="00217C16">
        <w:rPr>
          <w:rFonts w:ascii="Arial" w:eastAsia="Times New Roman" w:hAnsi="Arial" w:cs="Arial"/>
        </w:rPr>
        <w:t xml:space="preserve"> containing</w:t>
      </w:r>
      <w:r>
        <w:rPr>
          <w:rFonts w:ascii="Arial" w:eastAsia="Times New Roman" w:hAnsi="Arial" w:cs="Arial"/>
        </w:rPr>
        <w:t>:</w:t>
      </w:r>
    </w:p>
    <w:p w14:paraId="78DE0F55" w14:textId="61552A0A" w:rsidR="00217C16" w:rsidRDefault="00217C16" w:rsidP="00217C16">
      <w:pPr>
        <w:pStyle w:val="ListParagraph"/>
        <w:numPr>
          <w:ilvl w:val="1"/>
          <w:numId w:val="1"/>
        </w:numPr>
        <w:spacing w:line="276" w:lineRule="auto"/>
        <w:rPr>
          <w:rFonts w:ascii="Arial" w:eastAsia="Times New Roman" w:hAnsi="Arial" w:cs="Arial"/>
        </w:rPr>
      </w:pPr>
      <w:r w:rsidRPr="00217C16">
        <w:rPr>
          <w:rFonts w:ascii="Arial" w:eastAsia="Times New Roman" w:hAnsi="Arial" w:cs="Arial"/>
        </w:rPr>
        <w:t>anti-</w:t>
      </w:r>
      <w:proofErr w:type="spellStart"/>
      <w:r w:rsidRPr="00217C16">
        <w:rPr>
          <w:rFonts w:ascii="Arial" w:eastAsia="Times New Roman" w:hAnsi="Arial" w:cs="Arial"/>
        </w:rPr>
        <w:t>IFNg</w:t>
      </w:r>
      <w:proofErr w:type="spellEnd"/>
      <w:r>
        <w:rPr>
          <w:rFonts w:ascii="Arial" w:eastAsia="Times New Roman" w:hAnsi="Arial" w:cs="Arial"/>
        </w:rPr>
        <w:t xml:space="preserve"> (1/100)</w:t>
      </w:r>
    </w:p>
    <w:p w14:paraId="54AB3889" w14:textId="7A0AEF2F" w:rsidR="00217C16" w:rsidRDefault="00217C16" w:rsidP="00217C16">
      <w:pPr>
        <w:pStyle w:val="ListParagraph"/>
        <w:numPr>
          <w:ilvl w:val="1"/>
          <w:numId w:val="1"/>
        </w:numPr>
        <w:spacing w:line="276" w:lineRule="auto"/>
        <w:rPr>
          <w:rFonts w:ascii="Arial" w:eastAsia="Times New Roman" w:hAnsi="Arial" w:cs="Arial"/>
        </w:rPr>
      </w:pPr>
      <w:r w:rsidRPr="00217C16">
        <w:rPr>
          <w:rFonts w:ascii="Arial" w:eastAsia="Times New Roman" w:hAnsi="Arial" w:cs="Arial"/>
        </w:rPr>
        <w:t>anti-</w:t>
      </w:r>
      <w:proofErr w:type="spellStart"/>
      <w:r w:rsidRPr="00217C16">
        <w:rPr>
          <w:rFonts w:ascii="Arial" w:eastAsia="Times New Roman" w:hAnsi="Arial" w:cs="Arial"/>
        </w:rPr>
        <w:t>TNFa</w:t>
      </w:r>
      <w:proofErr w:type="spellEnd"/>
      <w:r>
        <w:rPr>
          <w:rFonts w:ascii="Arial" w:eastAsia="Times New Roman" w:hAnsi="Arial" w:cs="Arial"/>
        </w:rPr>
        <w:t xml:space="preserve"> (1/100)</w:t>
      </w:r>
    </w:p>
    <w:p w14:paraId="273592DA" w14:textId="4EC4F2DB" w:rsidR="00217C16" w:rsidRDefault="00217C16" w:rsidP="00217C16">
      <w:pPr>
        <w:pStyle w:val="ListParagraph"/>
        <w:numPr>
          <w:ilvl w:val="1"/>
          <w:numId w:val="1"/>
        </w:numPr>
        <w:spacing w:line="276" w:lineRule="auto"/>
        <w:rPr>
          <w:rFonts w:ascii="Arial" w:eastAsia="Times New Roman" w:hAnsi="Arial" w:cs="Arial"/>
        </w:rPr>
      </w:pPr>
      <w:r w:rsidRPr="00217C16">
        <w:rPr>
          <w:rFonts w:ascii="Arial" w:eastAsia="Times New Roman" w:hAnsi="Arial" w:cs="Arial"/>
        </w:rPr>
        <w:t xml:space="preserve">anti-IL-2 </w:t>
      </w:r>
      <w:r>
        <w:rPr>
          <w:rFonts w:ascii="Arial" w:eastAsia="Times New Roman" w:hAnsi="Arial" w:cs="Arial"/>
        </w:rPr>
        <w:t>(1/100) – PE (</w:t>
      </w:r>
      <w:r w:rsidRPr="00217C16">
        <w:rPr>
          <w:rFonts w:ascii="Arial" w:eastAsia="Times New Roman" w:hAnsi="Arial" w:cs="Arial"/>
        </w:rPr>
        <w:t>*Important: IL-2 only works in PE</w:t>
      </w:r>
      <w:r>
        <w:rPr>
          <w:rFonts w:ascii="Arial" w:eastAsia="Times New Roman" w:hAnsi="Arial" w:cs="Arial"/>
        </w:rPr>
        <w:t>)</w:t>
      </w:r>
    </w:p>
    <w:p w14:paraId="2EA1888A" w14:textId="12CDF449" w:rsidR="00217C16" w:rsidRPr="00217C16" w:rsidRDefault="00217C16" w:rsidP="00217C16">
      <w:pPr>
        <w:pStyle w:val="ListParagraph"/>
        <w:numPr>
          <w:ilvl w:val="0"/>
          <w:numId w:val="1"/>
        </w:numPr>
        <w:spacing w:line="276" w:lineRule="auto"/>
        <w:rPr>
          <w:rFonts w:ascii="Arial" w:eastAsia="Times New Roman" w:hAnsi="Arial" w:cs="Arial"/>
        </w:rPr>
      </w:pPr>
      <w:r w:rsidRPr="00217C16">
        <w:rPr>
          <w:rFonts w:ascii="Arial" w:eastAsia="Times New Roman" w:hAnsi="Arial" w:cs="Arial"/>
        </w:rPr>
        <w:t>Stain for 30min at 4C</w:t>
      </w:r>
    </w:p>
    <w:p w14:paraId="05FFE9D5" w14:textId="022150B1" w:rsidR="00217C16" w:rsidRPr="00217C16" w:rsidRDefault="00217C16" w:rsidP="00217C16">
      <w:pPr>
        <w:pStyle w:val="ListParagraph"/>
        <w:numPr>
          <w:ilvl w:val="0"/>
          <w:numId w:val="1"/>
        </w:numPr>
        <w:spacing w:line="276" w:lineRule="auto"/>
        <w:rPr>
          <w:rFonts w:ascii="Arial" w:eastAsia="Times New Roman" w:hAnsi="Arial" w:cs="Arial"/>
        </w:rPr>
      </w:pPr>
      <w:r w:rsidRPr="00217C16">
        <w:rPr>
          <w:rFonts w:ascii="Arial" w:eastAsia="Times New Roman" w:hAnsi="Arial" w:cs="Arial"/>
        </w:rPr>
        <w:t>Wash off stain, and re-suspend in volume for acquisition</w:t>
      </w:r>
    </w:p>
    <w:p w14:paraId="45BA3FBC" w14:textId="20B76EA9" w:rsidR="00217C16" w:rsidRDefault="00217C16" w:rsidP="00217C16">
      <w:pPr>
        <w:spacing w:line="276" w:lineRule="auto"/>
        <w:rPr>
          <w:rFonts w:ascii="Arial" w:eastAsia="Times New Roman" w:hAnsi="Arial" w:cs="Arial"/>
        </w:rPr>
      </w:pPr>
    </w:p>
    <w:p w14:paraId="381D11B3" w14:textId="708094F6" w:rsidR="005F1F19" w:rsidRPr="005F1F19" w:rsidRDefault="005F1F19" w:rsidP="00217C16">
      <w:pPr>
        <w:spacing w:line="276" w:lineRule="auto"/>
        <w:rPr>
          <w:rFonts w:ascii="Arial" w:eastAsia="Times New Roman" w:hAnsi="Arial" w:cs="Arial"/>
          <w:b/>
          <w:bCs/>
        </w:rPr>
      </w:pPr>
      <w:r w:rsidRPr="005F1F19">
        <w:rPr>
          <w:rFonts w:ascii="Arial" w:eastAsia="Times New Roman" w:hAnsi="Arial" w:cs="Arial"/>
          <w:b/>
          <w:bCs/>
        </w:rPr>
        <w:t>PANEL</w:t>
      </w:r>
    </w:p>
    <w:p w14:paraId="0FDF8553" w14:textId="41190601" w:rsidR="005F1F19" w:rsidRDefault="005F1F19" w:rsidP="00217C16">
      <w:pPr>
        <w:spacing w:line="276" w:lineRule="auto"/>
        <w:rPr>
          <w:rFonts w:ascii="Arial" w:eastAsia="Times New Roman" w:hAnsi="Arial" w:cs="Arial"/>
          <w:color w:val="00B050"/>
        </w:rPr>
      </w:pPr>
      <w:r w:rsidRPr="005F1F19">
        <w:rPr>
          <w:rFonts w:ascii="Arial" w:eastAsia="Times New Roman" w:hAnsi="Arial" w:cs="Arial"/>
          <w:color w:val="00B050"/>
        </w:rPr>
        <w:t>CD107a-FITC</w:t>
      </w:r>
    </w:p>
    <w:p w14:paraId="78083551" w14:textId="50B1B6AD" w:rsidR="006E601B" w:rsidRPr="006E601B" w:rsidRDefault="006E601B" w:rsidP="00217C16">
      <w:pPr>
        <w:spacing w:line="276" w:lineRule="auto"/>
        <w:rPr>
          <w:rFonts w:ascii="Arial" w:eastAsia="Times New Roman" w:hAnsi="Arial" w:cs="Arial"/>
          <w:color w:val="BF8F00" w:themeColor="accent4" w:themeShade="BF"/>
        </w:rPr>
      </w:pPr>
      <w:r w:rsidRPr="006E601B">
        <w:rPr>
          <w:rFonts w:ascii="Arial" w:eastAsia="Times New Roman" w:hAnsi="Arial" w:cs="Arial"/>
          <w:color w:val="BF8F00" w:themeColor="accent4" w:themeShade="BF"/>
        </w:rPr>
        <w:t>CD8a-PerCP-5.5</w:t>
      </w:r>
      <w:bookmarkStart w:id="0" w:name="_GoBack"/>
      <w:bookmarkEnd w:id="0"/>
    </w:p>
    <w:p w14:paraId="363AD756" w14:textId="78BFFC88" w:rsidR="005F1F19" w:rsidRDefault="005F1F19" w:rsidP="00217C16">
      <w:pPr>
        <w:spacing w:line="276" w:lineRule="auto"/>
        <w:rPr>
          <w:rFonts w:ascii="Arial" w:eastAsia="Times New Roman" w:hAnsi="Arial" w:cs="Arial"/>
          <w:color w:val="C00000"/>
        </w:rPr>
      </w:pPr>
      <w:r w:rsidRPr="005F1F19">
        <w:rPr>
          <w:rFonts w:ascii="Arial" w:eastAsia="Times New Roman" w:hAnsi="Arial" w:cs="Arial"/>
          <w:color w:val="C00000"/>
        </w:rPr>
        <w:t>IL-2-PE</w:t>
      </w:r>
    </w:p>
    <w:p w14:paraId="7847F3F9" w14:textId="62F51CCC" w:rsidR="005F1F19" w:rsidRDefault="005F1F19" w:rsidP="00217C16">
      <w:pPr>
        <w:spacing w:line="276" w:lineRule="auto"/>
        <w:rPr>
          <w:rFonts w:ascii="Arial" w:eastAsia="Times New Roman" w:hAnsi="Arial" w:cs="Arial"/>
          <w:color w:val="002060"/>
        </w:rPr>
      </w:pPr>
      <w:r w:rsidRPr="005F1F19">
        <w:rPr>
          <w:rFonts w:ascii="Arial" w:eastAsia="Times New Roman" w:hAnsi="Arial" w:cs="Arial"/>
          <w:color w:val="002060"/>
        </w:rPr>
        <w:t>IFNg-</w:t>
      </w:r>
      <w:r>
        <w:rPr>
          <w:rFonts w:ascii="Arial" w:eastAsia="Times New Roman" w:hAnsi="Arial" w:cs="Arial"/>
          <w:color w:val="002060"/>
        </w:rPr>
        <w:t>e450</w:t>
      </w:r>
    </w:p>
    <w:p w14:paraId="2935761C" w14:textId="180E90E6" w:rsidR="009E0FCD" w:rsidRDefault="005F1F19" w:rsidP="00217C16">
      <w:pPr>
        <w:spacing w:line="276" w:lineRule="auto"/>
        <w:rPr>
          <w:rFonts w:ascii="Arial" w:eastAsia="Times New Roman" w:hAnsi="Arial" w:cs="Arial"/>
          <w:color w:val="7030A0"/>
        </w:rPr>
      </w:pPr>
      <w:proofErr w:type="spellStart"/>
      <w:r w:rsidRPr="005F1F19">
        <w:rPr>
          <w:rFonts w:ascii="Arial" w:eastAsia="Times New Roman" w:hAnsi="Arial" w:cs="Arial"/>
          <w:color w:val="7030A0"/>
        </w:rPr>
        <w:t>TNFa</w:t>
      </w:r>
      <w:proofErr w:type="spellEnd"/>
      <w:r w:rsidRPr="005F1F19">
        <w:rPr>
          <w:rFonts w:ascii="Arial" w:eastAsia="Times New Roman" w:hAnsi="Arial" w:cs="Arial"/>
          <w:color w:val="7030A0"/>
        </w:rPr>
        <w:t>-APC</w:t>
      </w:r>
    </w:p>
    <w:p w14:paraId="01D98F6A" w14:textId="0929DDD9" w:rsidR="005F1F19" w:rsidRPr="005F1F19" w:rsidRDefault="005F1F19" w:rsidP="00217C16">
      <w:pPr>
        <w:spacing w:line="276" w:lineRule="auto"/>
        <w:rPr>
          <w:rFonts w:ascii="Arial" w:eastAsia="Times New Roman" w:hAnsi="Arial" w:cs="Arial"/>
          <w:color w:val="C5A5CC"/>
        </w:rPr>
      </w:pPr>
      <w:r w:rsidRPr="005F1F19">
        <w:rPr>
          <w:rFonts w:ascii="Arial" w:eastAsia="Times New Roman" w:hAnsi="Arial" w:cs="Arial"/>
          <w:color w:val="C5A5CC"/>
        </w:rPr>
        <w:t>CD45.1-BV711</w:t>
      </w:r>
    </w:p>
    <w:p w14:paraId="115F211E" w14:textId="219153CC" w:rsidR="005F1F19" w:rsidRPr="005F1F19" w:rsidRDefault="005F1F19" w:rsidP="00217C16">
      <w:pPr>
        <w:spacing w:line="276" w:lineRule="auto"/>
        <w:rPr>
          <w:rFonts w:ascii="Arial" w:eastAsia="Times New Roman" w:hAnsi="Arial" w:cs="Arial"/>
          <w:color w:val="F4B083" w:themeColor="accent2" w:themeTint="99"/>
        </w:rPr>
      </w:pPr>
      <w:r w:rsidRPr="005F1F19">
        <w:rPr>
          <w:rFonts w:ascii="Arial" w:eastAsia="Times New Roman" w:hAnsi="Arial" w:cs="Arial"/>
          <w:color w:val="F4B083" w:themeColor="accent2" w:themeTint="99"/>
        </w:rPr>
        <w:t>CD45.2-PE-Cy7</w:t>
      </w:r>
    </w:p>
    <w:p w14:paraId="7CE1BDD7" w14:textId="27D37C17" w:rsidR="005F1F19" w:rsidRPr="005F1F19" w:rsidRDefault="005F1F19" w:rsidP="00217C16">
      <w:pPr>
        <w:spacing w:line="276" w:lineRule="auto"/>
        <w:rPr>
          <w:rFonts w:ascii="Arial" w:eastAsia="Times New Roman" w:hAnsi="Arial" w:cs="Arial"/>
          <w:color w:val="833C0B" w:themeColor="accent2" w:themeShade="80"/>
        </w:rPr>
      </w:pPr>
      <w:r w:rsidRPr="005F1F19">
        <w:rPr>
          <w:rFonts w:ascii="Arial" w:eastAsia="Times New Roman" w:hAnsi="Arial" w:cs="Arial"/>
          <w:color w:val="833C0B" w:themeColor="accent2" w:themeShade="80"/>
        </w:rPr>
        <w:t>Live/Dead-APC-Cy7</w:t>
      </w:r>
    </w:p>
    <w:sectPr w:rsidR="005F1F19" w:rsidRPr="005F1F19" w:rsidSect="000571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EF0304"/>
    <w:multiLevelType w:val="hybridMultilevel"/>
    <w:tmpl w:val="C1044A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0F6E3B"/>
    <w:multiLevelType w:val="hybridMultilevel"/>
    <w:tmpl w:val="C144D532"/>
    <w:lvl w:ilvl="0" w:tplc="75AA8C74">
      <w:numFmt w:val="bullet"/>
      <w:lvlText w:val="-"/>
      <w:lvlJc w:val="left"/>
      <w:pPr>
        <w:ind w:left="720" w:hanging="360"/>
      </w:pPr>
      <w:rPr>
        <w:rFonts w:ascii="Helvetica" w:eastAsia="Times New Roman" w:hAnsi="Helvetic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16"/>
    <w:rsid w:val="00057151"/>
    <w:rsid w:val="00217C16"/>
    <w:rsid w:val="005F1F19"/>
    <w:rsid w:val="006E601B"/>
    <w:rsid w:val="00904E4C"/>
    <w:rsid w:val="00D32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2F85FC"/>
  <w15:chartTrackingRefBased/>
  <w15:docId w15:val="{3E765C1A-A102-E046-9425-FB07D2570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217C16"/>
  </w:style>
  <w:style w:type="paragraph" w:styleId="ListParagraph">
    <w:name w:val="List Paragraph"/>
    <w:basedOn w:val="Normal"/>
    <w:uiPriority w:val="34"/>
    <w:qFormat/>
    <w:rsid w:val="00217C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62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9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1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4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8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4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2020-02-13T18:13:00Z</cp:lastPrinted>
  <dcterms:created xsi:type="dcterms:W3CDTF">2020-02-13T17:57:00Z</dcterms:created>
  <dcterms:modified xsi:type="dcterms:W3CDTF">2020-02-13T18:14:00Z</dcterms:modified>
</cp:coreProperties>
</file>