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7E95D0" w14:textId="77777777" w:rsidR="00055473" w:rsidRDefault="00055473" w:rsidP="00055473">
      <w:pPr>
        <w:pStyle w:val="Heading1"/>
        <w:shd w:val="clear" w:color="auto" w:fill="FFFFFF"/>
        <w:spacing w:before="0" w:after="30"/>
        <w:textAlignment w:val="baseline"/>
        <w:rPr>
          <w:rFonts w:ascii="Lucida Grande" w:eastAsia="Times New Roman" w:hAnsi="Lucida Grande" w:cs="Lucida Grande"/>
          <w:color w:val="333333"/>
          <w:sz w:val="27"/>
          <w:szCs w:val="27"/>
        </w:rPr>
      </w:pPr>
      <w:r>
        <w:rPr>
          <w:rFonts w:ascii="Lucida Grande" w:eastAsia="Times New Roman" w:hAnsi="Lucida Grande" w:cs="Lucida Grande"/>
          <w:color w:val="333333"/>
          <w:sz w:val="27"/>
          <w:szCs w:val="27"/>
        </w:rPr>
        <w:t>Asymmetric T Lymphocyte Division in the Initiation of Adaptive Immune Responses</w:t>
      </w:r>
    </w:p>
    <w:p w14:paraId="68464379" w14:textId="77777777" w:rsidR="00055473" w:rsidRDefault="00055473"/>
    <w:p w14:paraId="6A975CE9" w14:textId="77777777" w:rsidR="00055473" w:rsidRDefault="00055473"/>
    <w:p w14:paraId="4BD43C52" w14:textId="77777777" w:rsidR="00DE4E13" w:rsidRDefault="00DE7461">
      <w:r w:rsidRPr="00DE7461">
        <w:t xml:space="preserve">Four days after infection, quantitative bacterial burdens in spleens were determined. Mean bacterial burden of recipient mice (left to right, n = 3, 4, 4, 4) is expressed as a percentage relative to the burden of </w:t>
      </w:r>
      <w:proofErr w:type="spellStart"/>
      <w:r w:rsidRPr="00DE7461">
        <w:t>untransferred</w:t>
      </w:r>
      <w:proofErr w:type="spellEnd"/>
      <w:r w:rsidRPr="00DE7461">
        <w:t xml:space="preserve"> control mice. All groups were significantly protected relative to </w:t>
      </w:r>
      <w:proofErr w:type="spellStart"/>
      <w:r w:rsidRPr="00DE7461">
        <w:t>untransferred</w:t>
      </w:r>
      <w:proofErr w:type="spellEnd"/>
      <w:r w:rsidRPr="00DE7461">
        <w:t xml:space="preserve"> controls (P ≤ 0.006). After delayed challenge, distal daughters afforded significantly better protection than proximal daughters (*P = 0.03).</w:t>
      </w:r>
    </w:p>
    <w:p w14:paraId="281B0249" w14:textId="77777777" w:rsidR="00DE7461" w:rsidRDefault="00DE7461"/>
    <w:p w14:paraId="2F3384F6" w14:textId="77777777" w:rsidR="00DE7461" w:rsidRDefault="00DE7461" w:rsidP="00DE7461">
      <w:r>
        <w:t xml:space="preserve">4d after challenge, recipient mice were sacrificed and quantitative bacterial burdens in the spleens were determined. Briefly, spleens were homogenized in 1% Triton X (Roche), and serial dilutions plated on brain-heart infusion (Sigma) agar plates </w:t>
      </w:r>
    </w:p>
    <w:p w14:paraId="66808E0F" w14:textId="77777777" w:rsidR="00DE7461" w:rsidRDefault="00DE7461" w:rsidP="00DE7461">
      <w:r>
        <w:t>incubated overnight at 37C. P</w:t>
      </w:r>
    </w:p>
    <w:p w14:paraId="6CD6B43B" w14:textId="77777777" w:rsidR="00055473" w:rsidRDefault="00055473" w:rsidP="00DE7461"/>
    <w:p w14:paraId="03CD3306" w14:textId="77777777" w:rsidR="00055473" w:rsidRPr="00055473" w:rsidRDefault="00055473" w:rsidP="00055473">
      <w:pPr>
        <w:shd w:val="clear" w:color="auto" w:fill="FFFFFF"/>
        <w:spacing w:before="100" w:beforeAutospacing="1" w:after="100" w:afterAutospacing="1"/>
        <w:outlineLvl w:val="1"/>
        <w:rPr>
          <w:rFonts w:ascii="Georgia" w:eastAsia="Times New Roman" w:hAnsi="Georgia" w:cs="Times New Roman"/>
          <w:b/>
          <w:bCs/>
          <w:color w:val="000000"/>
          <w:sz w:val="27"/>
          <w:szCs w:val="27"/>
        </w:rPr>
      </w:pPr>
      <w:r w:rsidRPr="00055473">
        <w:rPr>
          <w:rFonts w:ascii="Georgia" w:eastAsia="Times New Roman" w:hAnsi="Georgia" w:cs="Times New Roman"/>
          <w:b/>
          <w:bCs/>
          <w:color w:val="000000"/>
          <w:sz w:val="27"/>
          <w:szCs w:val="27"/>
        </w:rPr>
        <w:t>The generation of protective memory-like CD8</w:t>
      </w:r>
      <w:r w:rsidRPr="00055473">
        <w:rPr>
          <w:rFonts w:ascii="Georgia" w:eastAsia="Times New Roman" w:hAnsi="Georgia" w:cs="Times New Roman"/>
          <w:b/>
          <w:bCs/>
          <w:color w:val="000000"/>
          <w:sz w:val="27"/>
          <w:szCs w:val="27"/>
          <w:vertAlign w:val="superscript"/>
        </w:rPr>
        <w:t>+</w:t>
      </w:r>
      <w:r w:rsidRPr="00055473">
        <w:rPr>
          <w:rFonts w:ascii="Georgia" w:eastAsia="Times New Roman" w:hAnsi="Georgia" w:cs="Times New Roman"/>
          <w:b/>
          <w:bCs/>
          <w:color w:val="000000"/>
          <w:sz w:val="27"/>
          <w:szCs w:val="27"/>
        </w:rPr>
        <w:t> T cells during homeostatic proliferation requires CD4</w:t>
      </w:r>
      <w:r w:rsidRPr="00055473">
        <w:rPr>
          <w:rFonts w:ascii="Georgia" w:eastAsia="Times New Roman" w:hAnsi="Georgia" w:cs="Times New Roman"/>
          <w:b/>
          <w:bCs/>
          <w:color w:val="000000"/>
          <w:sz w:val="27"/>
          <w:szCs w:val="27"/>
          <w:vertAlign w:val="superscript"/>
        </w:rPr>
        <w:t>+</w:t>
      </w:r>
      <w:r w:rsidRPr="00055473">
        <w:rPr>
          <w:rFonts w:ascii="Georgia" w:eastAsia="Times New Roman" w:hAnsi="Georgia" w:cs="Times New Roman"/>
          <w:b/>
          <w:bCs/>
          <w:color w:val="000000"/>
          <w:sz w:val="27"/>
          <w:szCs w:val="27"/>
        </w:rPr>
        <w:t> T cells</w:t>
      </w:r>
    </w:p>
    <w:p w14:paraId="722B1CC2" w14:textId="77777777" w:rsidR="00055473" w:rsidRDefault="00055473" w:rsidP="00055473">
      <w:r>
        <w:t>Bacterial infections.</w:t>
      </w:r>
    </w:p>
    <w:p w14:paraId="7AFB256D" w14:textId="77777777" w:rsidR="00055473" w:rsidRDefault="00055473" w:rsidP="00055473">
      <w:r>
        <w:t xml:space="preserve">Recombinant L. monocytogenes strains LM-OVA (expressing secreted ovalbumin protein) and wild-type strain 10403s were provided by H. Shen (University of Pennsylvania School of Medicine, Philadelphia, Pennsylvania) and J.T. </w:t>
      </w:r>
      <w:proofErr w:type="spellStart"/>
      <w:r>
        <w:t>Harty</w:t>
      </w:r>
      <w:proofErr w:type="spellEnd"/>
      <w:r>
        <w:t xml:space="preserve"> (University of Iowa, Iowa City, Iowa)34, 43. Bacteria were grown in tryptic soy broth (TSB) with 50 mug/ml of streptomycin to an absorbance at 600 nm of about 0.1. For challenge experiments about 0.61 times 105 to 1.0 times 105 CFU were injected intravenously. The actual number of bacteria injected was confirmed by dilution and growth on tryptic soy agar plates containing streptomycin.</w:t>
      </w:r>
    </w:p>
    <w:p w14:paraId="0FD7B69E" w14:textId="77777777" w:rsidR="00055473" w:rsidRDefault="00055473" w:rsidP="00055473"/>
    <w:p w14:paraId="61859427" w14:textId="77777777" w:rsidR="00055473" w:rsidRPr="008B2F24" w:rsidRDefault="00055473" w:rsidP="00055473">
      <w:pPr>
        <w:rPr>
          <w:highlight w:val="yellow"/>
        </w:rPr>
      </w:pPr>
      <w:r w:rsidRPr="008B2F24">
        <w:rPr>
          <w:highlight w:val="yellow"/>
        </w:rPr>
        <w:t>Determination of CFU.</w:t>
      </w:r>
    </w:p>
    <w:p w14:paraId="5C918451" w14:textId="77777777" w:rsidR="00055473" w:rsidRDefault="00055473" w:rsidP="00055473">
      <w:r w:rsidRPr="008B2F24">
        <w:rPr>
          <w:highlight w:val="yellow"/>
        </w:rPr>
        <w:t>On various days after infection, spleens and livers were removed and placed in a 0.2% IGEPAL (Sigma) solution. Organs were homogenized and serial dilutions were plated onto TSB plates containing 50 mug/ml of streptomycin. Bacterial colonies were counted after plate incubation for about 24 h at 37 °C. Dashed lines on graphs (Figs. 1, 5 and 6) indicate the limit of detection (approximately 100 organisms).</w:t>
      </w:r>
    </w:p>
    <w:p w14:paraId="558E03B2" w14:textId="77777777" w:rsidR="008B2F24" w:rsidRDefault="008B2F24" w:rsidP="00055473"/>
    <w:p w14:paraId="4430AF90" w14:textId="77777777" w:rsidR="008B2F24" w:rsidRDefault="008B2F24" w:rsidP="00055473">
      <w:r w:rsidRPr="008B2F24">
        <w:rPr>
          <w:highlight w:val="yellow"/>
        </w:rPr>
        <w:t>Is what I did for my paper but on BHI plates rather than TSB</w:t>
      </w:r>
      <w:bookmarkStart w:id="0" w:name="_GoBack"/>
      <w:bookmarkEnd w:id="0"/>
    </w:p>
    <w:sectPr w:rsidR="008B2F24" w:rsidSect="008F6DF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Times">
    <w:panose1 w:val="02000500000000000000"/>
    <w:charset w:val="4D"/>
    <w:family w:val="roman"/>
    <w:notTrueType/>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461"/>
    <w:rsid w:val="00055473"/>
    <w:rsid w:val="008B2F24"/>
    <w:rsid w:val="008F6DF0"/>
    <w:rsid w:val="00DE4E13"/>
    <w:rsid w:val="00DE74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B7DE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47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9"/>
    <w:qFormat/>
    <w:rsid w:val="00055473"/>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5473"/>
    <w:rPr>
      <w:rFonts w:ascii="Times" w:hAnsi="Times"/>
      <w:b/>
      <w:bCs/>
      <w:sz w:val="36"/>
      <w:szCs w:val="36"/>
    </w:rPr>
  </w:style>
  <w:style w:type="character" w:customStyle="1" w:styleId="apple-converted-space">
    <w:name w:val="apple-converted-space"/>
    <w:basedOn w:val="DefaultParagraphFont"/>
    <w:rsid w:val="00055473"/>
  </w:style>
  <w:style w:type="character" w:customStyle="1" w:styleId="Heading1Char">
    <w:name w:val="Heading 1 Char"/>
    <w:basedOn w:val="DefaultParagraphFont"/>
    <w:link w:val="Heading1"/>
    <w:uiPriority w:val="9"/>
    <w:rsid w:val="00055473"/>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9223215">
      <w:bodyDiv w:val="1"/>
      <w:marLeft w:val="0"/>
      <w:marRight w:val="0"/>
      <w:marTop w:val="0"/>
      <w:marBottom w:val="0"/>
      <w:divBdr>
        <w:top w:val="none" w:sz="0" w:space="0" w:color="auto"/>
        <w:left w:val="none" w:sz="0" w:space="0" w:color="auto"/>
        <w:bottom w:val="none" w:sz="0" w:space="0" w:color="auto"/>
        <w:right w:val="none" w:sz="0" w:space="0" w:color="auto"/>
      </w:divBdr>
    </w:div>
    <w:div w:id="189523772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306</Words>
  <Characters>1746</Characters>
  <Application>Microsoft Macintosh Word</Application>
  <DocSecurity>0</DocSecurity>
  <Lines>14</Lines>
  <Paragraphs>4</Paragraphs>
  <ScaleCrop>false</ScaleCrop>
  <Company>UCSD</Company>
  <LinksUpToDate>false</LinksUpToDate>
  <CharactersWithSpaces>2048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Goldrath Lab</dc:creator>
  <cp:keywords/>
  <dc:description/>
  <cp:lastModifiedBy>Microsoft Office User</cp:lastModifiedBy>
  <cp:revision>2</cp:revision>
  <dcterms:created xsi:type="dcterms:W3CDTF">2014-12-03T21:53:00Z</dcterms:created>
  <dcterms:modified xsi:type="dcterms:W3CDTF">2017-05-08T19:08:00Z</dcterms:modified>
</cp:coreProperties>
</file>