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957489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16250" cy="51879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6250" cy="5187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5773620605469" w:right="0" w:firstLine="0"/>
        <w:jc w:val="left"/>
        <w:rPr>
          <w:rFonts w:ascii="Arial" w:cs="Arial" w:eastAsia="Arial" w:hAnsi="Arial"/>
          <w:b w:val="0"/>
          <w:bCs w:val="0"/>
          <w:i w:val="1"/>
          <w:iCs w:val="1"/>
          <w:smallCaps w:val="0"/>
          <w:strike w:val="0"/>
          <w:color w:val="ac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ac0000"/>
          <w:sz w:val="24"/>
          <w:szCs w:val="24"/>
          <w:u w:val="none"/>
          <w:shd w:fill="auto" w:val="clear"/>
          <w:vertAlign w:val="baseline"/>
          <w:rtl w:val="0"/>
        </w:rPr>
        <w:t xml:space="preserve">Renaissance School of Medicine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6358947753906" w:right="0" w:firstLine="0"/>
        <w:jc w:val="left"/>
        <w:rPr>
          <w:rFonts w:ascii="Arial" w:cs="Arial" w:eastAsia="Arial" w:hAnsi="Arial"/>
          <w:b w:val="0"/>
          <w:bCs w:val="0"/>
          <w:i w:val="0"/>
          <w:iCs w:val="0"/>
          <w:smallCaps w:val="0"/>
          <w:strike w:val="0"/>
          <w:color w:val="ac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ac0000"/>
          <w:sz w:val="19.920000076293945"/>
          <w:szCs w:val="19.920000076293945"/>
          <w:u w:val="none"/>
          <w:shd w:fill="auto" w:val="clear"/>
          <w:vertAlign w:val="baseline"/>
          <w:rtl w:val="0"/>
        </w:rPr>
        <w:t xml:space="preserve">Department of Microbiology and Immunology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574768066406" w:right="0" w:firstLine="0"/>
        <w:jc w:val="left"/>
        <w:rPr>
          <w:rFonts w:ascii="Arial" w:cs="Arial" w:eastAsia="Arial" w:hAnsi="Arial"/>
          <w:b w:val="0"/>
          <w:bCs w:val="0"/>
          <w:i w:val="0"/>
          <w:iCs w:val="0"/>
          <w:smallCaps w:val="0"/>
          <w:strike w:val="0"/>
          <w:color w:val="ac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ac0000"/>
          <w:sz w:val="19.920000076293945"/>
          <w:szCs w:val="19.920000076293945"/>
          <w:u w:val="none"/>
          <w:shd w:fill="auto" w:val="clear"/>
          <w:vertAlign w:val="baseline"/>
          <w:rtl w:val="0"/>
        </w:rPr>
        <w:t xml:space="preserve">Center for Infectious Diseases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5849609375" w:line="240" w:lineRule="auto"/>
        <w:ind w:left="0" w:right="164.41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12/11/2025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Ananda Goldrath, PhD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5716552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Dhruv Khanduja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1826171875" w:line="240" w:lineRule="auto"/>
        <w:ind w:left="17.0015716552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Dear Ananda and Dhruv,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060546875" w:line="217.28203296661377" w:lineRule="auto"/>
        <w:ind w:left="0.440826416015625" w:right="318.91601562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 provide this detailed protocol and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Listeria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information sheet to labs that request Listeria mutants we  have generated. We are providing you with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Listeria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expressing the internalin A S192N  Y369S mutations (InlA</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that also expresses the gp33 epitope on the 10403s background strain. The InlA</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based on the work of Wollert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Cell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2007.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-gp33 strain was generated by Hao Shen and  murinized by my lab. Please cite Sheridan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Immunity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2013 when referencing the InlA</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M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any  publications. Please reach out for any clarifications or questions.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12548828125" w:line="240" w:lineRule="auto"/>
        <w:ind w:left="16.1098480224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Listeria: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5817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InlA</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M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(10403s)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055297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InlA</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M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-gp33 (10403s)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40625" w:line="240" w:lineRule="auto"/>
        <w:ind w:left="10.28297424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Sincerely,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68505859375" w:line="240" w:lineRule="auto"/>
        <w:ind w:left="2.0988464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99680" cy="54397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99680" cy="54397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537780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Brian S. Sheridan, Ph.D.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46984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Associate Professor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060546875" w:line="240" w:lineRule="auto"/>
        <w:ind w:left="17.34855651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Department of Microbiology and Immunology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71765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Center for Infectious Diseases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0664672851562"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Renaissance School of Medicine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341674804687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Stony Brook University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062561035156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246 Centers for Molecular Medicine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341674804687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Stony Brook, NY 11794-5120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7.098999023437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Phone: 631-632-4459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0664672851562" w:right="0" w:firstLine="0"/>
        <w:jc w:val="left"/>
        <w:rPr>
          <w:rFonts w:ascii="Arial" w:cs="Arial" w:eastAsia="Arial" w:hAnsi="Arial"/>
          <w:b w:val="0"/>
          <w:bCs w:val="0"/>
          <w:i w:val="0"/>
          <w:iCs w:val="0"/>
          <w:smallCaps w:val="0"/>
          <w:strike w:val="0"/>
          <w:color w:val="0000ff"/>
          <w:sz w:val="22.079999923706055"/>
          <w:szCs w:val="22.079999923706055"/>
          <w:highlight w:val="white"/>
          <w:u w:val="single"/>
          <w:vertAlign w:val="baseline"/>
        </w:rPr>
      </w:pP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Email: </w:t>
      </w:r>
      <w:r w:rsidDel="00000000" w:rsidR="00000000" w:rsidRPr="00000000">
        <w:rPr>
          <w:rFonts w:ascii="Arial" w:cs="Arial" w:eastAsia="Arial" w:hAnsi="Arial"/>
          <w:b w:val="0"/>
          <w:bCs w:val="0"/>
          <w:i w:val="0"/>
          <w:iCs w:val="0"/>
          <w:smallCaps w:val="0"/>
          <w:strike w:val="0"/>
          <w:color w:val="0000ff"/>
          <w:sz w:val="22.079999923706055"/>
          <w:szCs w:val="22.079999923706055"/>
          <w:highlight w:val="white"/>
          <w:u w:val="single"/>
          <w:vertAlign w:val="baseline"/>
          <w:rtl w:val="0"/>
        </w:rPr>
        <w:t xml:space="preserve">brian.sheridan@stonybrook.edu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1"/>
          <w:iCs w:val="1"/>
          <w:color w:val="c00000"/>
          <w:sz w:val="19.920000076293945"/>
          <w:szCs w:val="19.920000076293945"/>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1"/>
          <w:iCs w:val="1"/>
          <w:color w:val="c00000"/>
          <w:sz w:val="19.920000076293945"/>
          <w:szCs w:val="19.920000076293945"/>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0.033416748046875" w:right="0" w:firstLine="0"/>
        <w:jc w:val="left"/>
        <w:rPr>
          <w:b w:val="1"/>
          <w:bCs w:val="1"/>
          <w:i w:val="1"/>
          <w:iCs w:val="1"/>
          <w:sz w:val="22.079999923706055"/>
          <w:szCs w:val="22.079999923706055"/>
          <w:u w:val="singl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0.033416748046875" w:right="0" w:firstLine="0"/>
        <w:jc w:val="left"/>
        <w:rPr>
          <w:b w:val="1"/>
          <w:bCs w:val="1"/>
          <w:i w:val="1"/>
          <w:iCs w:val="1"/>
          <w:sz w:val="22.079999923706055"/>
          <w:szCs w:val="22.079999923706055"/>
          <w:u w:val="singl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0.033416748046875" w:right="0" w:firstLine="0"/>
        <w:jc w:val="left"/>
        <w:rPr>
          <w:b w:val="1"/>
          <w:bCs w:val="1"/>
          <w:i w:val="1"/>
          <w:iCs w:val="1"/>
          <w:sz w:val="22.079999923706055"/>
          <w:szCs w:val="22.079999923706055"/>
          <w:u w:val="singl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0.033416748046875"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single"/>
          <w:shd w:fill="auto" w:val="clear"/>
          <w:vertAlign w:val="baseline"/>
          <w:rtl w:val="0"/>
        </w:rPr>
        <w:t xml:space="preserve">Listeria monocytogenes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Protocol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27.12971687316895" w:lineRule="auto"/>
        <w:ind w:left="0.7602691650390625" w:right="154.091796875" w:firstLine="8.16917419433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the causative agent of listeriosis, a food-borne disease of humans and animals.  Typical human exposure occurs through ingestion of unpasteurized milk products, vegetables, or prepared  meats. Listeriosis can present in healthy adults with symptoms of fever and gastroenteritis. Pregnant  women and their fetuses, newborns and the immunocompromised are at great risk of developing severe  infections including meningoencephalitis and septicemia that may be fatal. Infection during pregnancy can  lead to fetal loss. Pregnant women or women trying to become pregnant should consult your institute’s  occupational health division prior to work with this pathogen. Strains that are on the 10403s background are  naturally streptomycin resistant.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susceptible to gentamicin, penicillin, and ampicillin  and as such listeriosis is treated via administration of gentamicin plus penicillin or ampicillin. Lab acquired  transmission could be through an aerosol exposure, a splash to the face causing ingestion or to an open  wound or exposed mucous membrane, or a needle stick. No confirmed cases of lab acquired listeriosis  have ever been reported. Excessively high levels of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(~3x10</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cfu via consumption of  contaminated food) are required for a healthy human to develop signs of gastroenteritis without any  associated mortality (Dalton et al., 1997).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classified as a risk group 2 agent and is  handled under BSL-2 and ABSL-2 procedures and containment.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998779296875" w:line="229.03869152069092" w:lineRule="auto"/>
        <w:ind w:left="7.3838043212890625" w:right="314.283447265625" w:firstLine="9.715194702148438"/>
        <w:jc w:val="left"/>
        <w:rPr>
          <w:rFonts w:ascii="Arial" w:cs="Arial" w:eastAsia="Arial" w:hAnsi="Arial"/>
          <w:b w:val="0"/>
          <w:bCs w:val="0"/>
          <w:i w:val="0"/>
          <w:iCs w:val="0"/>
          <w:smallCaps w:val="0"/>
          <w:strike w:val="0"/>
          <w:color w:val="222222"/>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Per IATA, we don’t consider that Listeria "is transported in a form that, when exposure to it occurs, is </w:t>
      </w:r>
      <w:r w:rsidDel="00000000" w:rsidR="00000000" w:rsidRPr="00000000">
        <w:rPr>
          <w:rFonts w:ascii="Arial" w:cs="Arial" w:eastAsia="Arial" w:hAnsi="Arial"/>
          <w:b w:val="0"/>
          <w:bCs w:val="0"/>
          <w:i w:val="0"/>
          <w:iCs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capable of causing permanent disability, life-threatening or fatal disease in otherwise healthy humans or </w:t>
      </w:r>
      <w:r w:rsidDel="00000000" w:rsidR="00000000" w:rsidRPr="00000000">
        <w:rPr>
          <w:rFonts w:ascii="Arial" w:cs="Arial" w:eastAsia="Arial" w:hAnsi="Arial"/>
          <w:b w:val="0"/>
          <w:bCs w:val="0"/>
          <w:i w:val="0"/>
          <w:iCs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animals." In this context, an exposure constitutes "when an infectious substance is released outside of the </w:t>
      </w:r>
      <w:r w:rsidDel="00000000" w:rsidR="00000000" w:rsidRPr="00000000">
        <w:rPr>
          <w:rFonts w:ascii="Arial" w:cs="Arial" w:eastAsia="Arial" w:hAnsi="Arial"/>
          <w:b w:val="0"/>
          <w:bCs w:val="0"/>
          <w:i w:val="0"/>
          <w:iCs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protective packaging, resulting in physical contact with humans." While it is not exhaustive,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is also not indicated on the UN 2814 table of pathogens. As such, we ship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as a UN 3373 designation.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43896484375" w:line="228.84149551391602" w:lineRule="auto"/>
        <w:ind w:left="7.6044464111328125" w:right="259.7216796875" w:hanging="4.8574066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 typically ship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 Brain Heart Infusion (BHI) agar stabs/plates at room temperature.  Colonies usually grow during shipment. If no colonies or growth are visible, place them in a 37°C incubator  overnight and check for colonies the next day. We recommend colony purification to generate your stocks and that you confirm (via PCR) that the bacteria you requested was shipped.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321533203125" w:line="222.87012577056885" w:lineRule="auto"/>
        <w:ind w:left="728.382568359375" w:right="802.252197265625" w:hanging="355.805130004882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EGDe strain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internalin A mutation replaces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inlA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inlA</w:t>
      </w:r>
      <w:r w:rsidDel="00000000" w:rsidR="00000000" w:rsidRPr="00000000">
        <w:rPr>
          <w:rFonts w:ascii="Arial" w:cs="Arial" w:eastAsia="Arial" w:hAnsi="Arial"/>
          <w:b w:val="0"/>
          <w:bCs w:val="0"/>
          <w:i w:val="1"/>
          <w:iCs w:val="1"/>
          <w:smallCaps w:val="0"/>
          <w:strike w:val="0"/>
          <w:color w:val="000000"/>
          <w:sz w:val="23.200000127156578"/>
          <w:szCs w:val="23.200000127156578"/>
          <w:u w:val="none"/>
          <w:shd w:fill="auto" w:val="clear"/>
          <w:vertAlign w:val="superscript"/>
          <w:rtl w:val="0"/>
        </w:rPr>
        <w:t xml:space="preserve">S192N-Y369S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expressed at native levels (Wollert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Cell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2007).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0265636444092" w:lineRule="auto"/>
        <w:ind w:left="372.5774383544922" w:right="237.781982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10403s strain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internalin A mutation replaces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inlA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inlA</w:t>
      </w:r>
      <w:r w:rsidDel="00000000" w:rsidR="00000000" w:rsidRPr="00000000">
        <w:rPr>
          <w:rFonts w:ascii="Arial" w:cs="Arial" w:eastAsia="Arial" w:hAnsi="Arial"/>
          <w:b w:val="0"/>
          <w:bCs w:val="0"/>
          <w:i w:val="1"/>
          <w:iCs w:val="1"/>
          <w:smallCaps w:val="0"/>
          <w:strike w:val="0"/>
          <w:color w:val="000000"/>
          <w:sz w:val="23.200000127156578"/>
          <w:szCs w:val="23.200000127156578"/>
          <w:u w:val="none"/>
          <w:shd w:fill="auto" w:val="clear"/>
          <w:vertAlign w:val="superscript"/>
          <w:rtl w:val="0"/>
        </w:rPr>
        <w:t xml:space="preserve">S192N-Y369S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made similarly (Xayarath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Mol Microbiol,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2009 and Sheridan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Immunity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2013)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is unknown whether these internalin A mutations make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more pathogenic in  humans. However, it increases the binding kinetics to human E-cad and attachment to Caco-2 cells  (Wollert et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Cell,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2007).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4829101562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strain EGDe (more pathogenic)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12014770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antibiotic resistance. Use standard aseptic techniques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84765625" w:line="240.53715705871582" w:lineRule="auto"/>
        <w:ind w:left="372.5774383544922" w:right="222.281494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strain 10403s (less pathogenic; `expression of ova further reduces pathogenicity)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Naturally streptomycin resistant at 5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g/mL (up to 200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g/mL without impaired growth).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Ova expressing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also erythromycin resistant at 5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g/mL.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0874462127686" w:lineRule="auto"/>
        <w:ind w:left="2169.4290161132812" w:right="805.1318359375" w:hanging="350.1885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Ova expression is chromosomally inserted and does not require selection after  confirmation.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47900390625" w:line="240" w:lineRule="auto"/>
        <w:ind w:left="0" w:right="1629.8590087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-ova is a truncated Ova that does not express the OT-II epitope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09228515625" w:line="240" w:lineRule="auto"/>
        <w:ind w:left="1096.78253173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quantifying bacterial burden, use plates with strept at 50 – 100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g/mL.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995727539062" w:line="240" w:lineRule="auto"/>
        <w:ind w:left="17.0702362060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Day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2373046875" w:line="241.90312385559082" w:lineRule="auto"/>
        <w:ind w:left="372.5774383544922" w:right="315.4821777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the afternoon (or evening) inoculate 5 mL of BHI with 5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stock aliquots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Culture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 at 37°C and 220 rpm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5.995025634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Day 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26.93475246429443" w:lineRule="auto"/>
        <w:ind w:left="730.6967163085938" w:right="411.663818359375" w:hanging="358.1192779541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Subculture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the morning using a 1:10 dilution into BHI. Typically, 2 mL of  ON culture into 18 mL of BHI for up to 10 mice. Depending on the size of the experiment you may  need a larger culture.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96093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Shake at 37°C in a 50 mL conical flask at 220 rpm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Incubate until OD</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600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reaches 0.8 (roughly 90 – 120 min)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536434173584" w:lineRule="auto"/>
        <w:ind w:left="728.2669067382812" w:right="641.207275390625" w:hanging="355.689468383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Pellet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 6000 rpm 15 min 4°C (we routinely use 4000 rpm at 15 minute in an eppendorf 5810 R centrifuge)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570312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mL of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culture at OD</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600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0.8 yields ~ 2x10</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CFU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2.30320930480957" w:lineRule="auto"/>
        <w:ind w:left="720.25146484375" w:right="185.83251953125" w:hanging="348.644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generate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glycerol stocks,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resuspend pellet in 2 ml sterile PBS and 2 ml sterile 100% glycerol.  Aliquot a few larger volumes (500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for permanent stocks (from which future batches will be made)  and smaller single use aliquots (25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for working stocks. Stocks are maintained at -80°C.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11669921875" w:line="217.4086618423462" w:lineRule="auto"/>
        <w:ind w:left="728.2005310058594" w:right="286.649169921875" w:hanging="356.59194946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i.v. infections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Balb/c or C57Bl/6: Above volumes can be adjusted as i.v. infections require a  lot less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Resuspend pellet in PBS and serial dilute to appropriate titer. Different  doses are reported in the literature, but we typically infect 1-2x10</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CFU/mouse in 100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103515625" w:line="203.9187526702881" w:lineRule="auto"/>
        <w:ind w:left="733.5661315917969" w:right="681.148681640625" w:hanging="360.988693237304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oral infections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Balb/c or C57Bl/6: Resuspend pellet in 0.5 mL PBS and infect with 50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(~2x10</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CFU/mouse).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3779296875" w:line="229.20817852020264" w:lineRule="auto"/>
        <w:ind w:left="1447.806396484375" w:right="144.98291015625" w:hanging="351.95541381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 labs gavage for oral infections. We use a feeding approach which prevents esophageal  microabrasions and direct access of the bacteria to the blood stream. However, some strains  or transgenics may have peculiar eating habits that may require gavage (e.g., CBy)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99951171875" w:line="240" w:lineRule="auto"/>
        <w:ind w:left="378.914260864257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Foodborne Infection Protocol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43212890625" w:line="228.02681922912598" w:lineRule="auto"/>
        <w:ind w:left="728.0470275878906" w:right="154.075927734375" w:hanging="355.4695892333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Remove food and water from the mice cages for infections. Food and water deprive for  approximately 4 hours prior to infection. The closer to the evening the better they eat. We also cover  mice cages with a dark sheet during feeding, away from noise and traffic flow. It is best if a separate  room is available.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55517578125" w:line="225.8536434173584" w:lineRule="auto"/>
        <w:ind w:left="734.8907470703125" w:right="641.204833984375" w:hanging="362.31330871582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Remove 90% of bedding from infection cages to prevent mice from burying their food. You only  need enough bedding to sponge urine.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31787109375" w:line="227.98785209655762" w:lineRule="auto"/>
        <w:ind w:left="726.9229125976562" w:right="349.462890625" w:hanging="354.34547424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Place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 monocytogenes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 small bread pieces (~0.5 cm</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cages. The bread should be the  smallest size that still absorbs the entire inoculum. Inoculate 1 piece of bread per cage for a single  mouse.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2783203125" w:line="225.8536434173584" w:lineRule="auto"/>
        <w:ind w:left="734.6701049804688" w:right="168.187255859375" w:hanging="362.09266662597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House mice individually during infection to be sure each mouse consumes a single inoculated bread  piece.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37890625" w:line="228.58524799346924" w:lineRule="auto"/>
        <w:ind w:left="723.1881713867188" w:right="197.352294921875" w:hanging="350.6107330322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Mice fully consume inoculated bread in about 1 hr. Approximately 10% of mice take longer than 1 hr. We provide a maximum of 4 hours before marking mice which do not fully consume inoculated  bread (which is very rare). This allows us to longitudinally track any mouse that did not consume a  complete inoculum. Condense mice back into their original cages with their original cagemates so  that social hierarchies are not disrupted.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82177734375" w:line="240" w:lineRule="auto"/>
        <w:ind w:left="16.8486022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Bug Counts (to confirm infection dose)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3149414062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Make 10-fold serial dilutions in PBS.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27.98792362213135" w:lineRule="auto"/>
        <w:ind w:left="726.2799072265625" w:right="244.405517578125" w:hanging="353.7024688720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Plate 10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of respective dilutions on BHI agar (with antibiotics where appropriate) using loop  spreader. In this case, we have an approximate titer so you can plate the appropriate dilution +/- 1 – 2 dilutions.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947265625" w:line="240" w:lineRule="auto"/>
        <w:ind w:left="16.215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Bug Counts from Tissue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Filter sterilize 1% saponin in PBS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Mush tissues (usually spleen, mes LN, and liver) through 70um mesh cap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Spin at 4000rpm 15min 4°C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Resuspend in 1% saponin: MLN in 2 ml, spleen in 3ml, and liver in 5ml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0988903045654" w:lineRule="auto"/>
        <w:ind w:left="1454.6987915039062" w:right="522.177734375" w:hanging="359.020843505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Guts: Use gentleMACS to disassociate tissues in 9 parts PBS. After disassociation add 1  part 10% saponin (use lung 2 setting 2X)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960937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Incubate at least 30 - 60 min at 4°C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372.57743835449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Make 10-fold serial dilutions in PBS.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25.8536434173584" w:lineRule="auto"/>
        <w:ind w:left="726.942138671875" w:right="962.164306640625" w:hanging="354.3647003173828"/>
        <w:jc w:val="left"/>
        <w:rPr>
          <w:rFonts w:ascii="Arial" w:cs="Arial" w:eastAsia="Arial" w:hAnsi="Arial"/>
          <w:b w:val="1"/>
          <w:bCs w:val="1"/>
          <w:i w:val="0"/>
          <w:iCs w:val="0"/>
          <w:smallCaps w:val="0"/>
          <w:strike w:val="0"/>
          <w:color w:val="000000"/>
          <w:sz w:val="19.504690170288086"/>
          <w:szCs w:val="19.50469017028808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Plate 10ul of respective dilutions on BHI agar (with antibiotics where appropriate) using loop  spreader. Volume plated and dilution strategy may be adjusted for your needs.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704850</wp:posOffset>
            </wp:positionV>
            <wp:extent cx="6775442" cy="20701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75442" cy="2070100"/>
                    </a:xfrm>
                    <a:prstGeom prst="rect"/>
                    <a:ln/>
                  </pic:spPr>
                </pic:pic>
              </a:graphicData>
            </a:graphic>
          </wp:anchor>
        </w:drawing>
      </w:r>
    </w:p>
    <w:sectPr>
      <w:pgSz w:h="15840" w:w="12240" w:orient="portrait"/>
      <w:pgMar w:bottom="1663.2000732421875" w:top="707.999267578125" w:left="863.902587890625" w:right="706.10961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