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Purification of Antibodies: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Equipment: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HiTrap Protein G column – </w:t>
      </w:r>
    </w:p>
    <w:p>
      <w:pPr>
        <w:pStyle w:val="Normal"/>
        <w:rPr/>
      </w:pPr>
      <w:r>
        <w:rPr/>
        <w:t>Peristaltic Pump or syringe</w:t>
      </w:r>
    </w:p>
    <w:p>
      <w:pPr>
        <w:pStyle w:val="Normal"/>
        <w:rPr/>
      </w:pPr>
      <w:r>
        <w:rPr/>
        <w:t>Collection tubes (FACS tubes work really well) with 100 ul of Tris pH 9.0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Protocol: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Important things to remember: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Peristaltic Pump:  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1"/>
        </w:numPr>
        <w:rPr/>
      </w:pPr>
      <w:r>
        <w:rPr/>
        <w:t>Run Sodium Phosphate buffer pH 7.0 into the tubing to equilibrate it until it begins dripping out the side with the metal lock.  Stop the flow.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Place column onto a metal stand 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Attach the metal lock to the column using the red adaptor then continue the flow.  This is known as adding it ‘drop-to-drop’, which prevents air from entering the column.  </w:t>
      </w:r>
    </w:p>
    <w:p>
      <w:pPr>
        <w:pStyle w:val="Normal"/>
        <w:numPr>
          <w:ilvl w:val="0"/>
          <w:numId w:val="1"/>
        </w:numPr>
        <w:rPr/>
      </w:pPr>
      <w:r>
        <w:rPr/>
        <w:t>Run 5x the volume of the column (25 ml) of Sodium Phosphate buffer pH 7.0  over the column and save the flow through.</w:t>
      </w:r>
    </w:p>
    <w:p>
      <w:pPr>
        <w:pStyle w:val="Normal"/>
        <w:numPr>
          <w:ilvl w:val="0"/>
          <w:numId w:val="1"/>
        </w:numPr>
        <w:rPr/>
      </w:pPr>
      <w:r>
        <w:rPr/>
        <w:t>Begin running your antibody supernatant over the column…make sure to use a new collection tube once the supernatant reaches the column.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Once all of your supernatant has been collected, run another 5 volumes of Sodium Phosphate buffer pH 7.0.  </w:t>
      </w:r>
    </w:p>
    <w:p>
      <w:pPr>
        <w:pStyle w:val="Normal"/>
        <w:numPr>
          <w:ilvl w:val="0"/>
          <w:numId w:val="1"/>
        </w:numPr>
        <w:rPr/>
      </w:pPr>
      <w:r>
        <w:rPr/>
        <w:t>Elute the antibody using 0.1M Glycine buffer, pH 2.8.  20 fractions of approximately 1 ml each is good.  For this small a volume, 30 ml syringes work well to add the glycine.  Just make sure to put the syringe on ‘drop-to-drop’ to avoid air entering the column.</w:t>
      </w:r>
    </w:p>
    <w:p>
      <w:pPr>
        <w:pStyle w:val="Normal"/>
        <w:numPr>
          <w:ilvl w:val="0"/>
          <w:numId w:val="1"/>
        </w:numPr>
        <w:rPr/>
      </w:pPr>
      <w:r>
        <w:rPr/>
        <w:t>Once eluted, attach the column onto the metal stand once again, and run 5 bed volumes of 20% EtOH through it.  The column can be stored at 4</w:t>
      </w:r>
      <w:r>
        <w:rPr>
          <w:rFonts w:eastAsia="Symbol" w:cs="Symbol" w:ascii="Symbol" w:hAnsi="Symbol"/>
        </w:rPr>
        <w:t></w:t>
      </w:r>
      <w:r>
        <w:rPr/>
        <w:t xml:space="preserve">C until later use.  The tubing can stay attached until later use. </w:t>
      </w:r>
    </w:p>
    <w:p>
      <w:pPr>
        <w:pStyle w:val="Normal"/>
        <w:numPr>
          <w:ilvl w:val="0"/>
          <w:numId w:val="1"/>
        </w:numPr>
        <w:rPr/>
      </w:pPr>
      <w:r>
        <w:rPr/>
        <w:t>Set up a 96-well plate with the following for each fraction (don’t forget pos and neg controls too!):</w:t>
      </w:r>
    </w:p>
    <w:p>
      <w:pPr>
        <w:pStyle w:val="Normal"/>
        <w:numPr>
          <w:ilvl w:val="1"/>
          <w:numId w:val="1"/>
        </w:numPr>
        <w:rPr/>
      </w:pPr>
      <w:r>
        <w:rPr/>
        <w:t>20 ul sample</w:t>
      </w:r>
    </w:p>
    <w:p>
      <w:pPr>
        <w:pStyle w:val="Normal"/>
        <w:numPr>
          <w:ilvl w:val="1"/>
          <w:numId w:val="1"/>
        </w:numPr>
        <w:rPr/>
      </w:pPr>
      <w:r>
        <w:rPr/>
        <w:t>20 ul biorad protein assay dye (Cat # 500-0006)</w:t>
      </w:r>
    </w:p>
    <w:p>
      <w:pPr>
        <w:pStyle w:val="Normal"/>
        <w:numPr>
          <w:ilvl w:val="1"/>
          <w:numId w:val="1"/>
        </w:numPr>
        <w:rPr/>
      </w:pPr>
      <w:r>
        <w:rPr/>
        <w:t>60 ul H20</w:t>
      </w:r>
    </w:p>
    <w:p>
      <w:pPr>
        <w:pStyle w:val="Normal"/>
        <w:numPr>
          <w:ilvl w:val="0"/>
          <w:numId w:val="2"/>
        </w:numPr>
        <w:rPr/>
      </w:pPr>
      <w:r>
        <w:rPr/>
        <w:t xml:space="preserve">Collect the fractions that turn the darkest blue – these contain the eluted antibody! </w:t>
      </w:r>
    </w:p>
    <w:p>
      <w:pPr>
        <w:pStyle w:val="Normal"/>
        <w:numPr>
          <w:ilvl w:val="0"/>
          <w:numId w:val="2"/>
        </w:numPr>
        <w:rPr/>
      </w:pPr>
      <w:r>
        <w:rPr/>
        <w:t>Use spin collection tubes to concentrate the antibody (see tube directions for how)</w:t>
      </w:r>
    </w:p>
    <w:p>
      <w:pPr>
        <w:pStyle w:val="Normal"/>
        <w:numPr>
          <w:ilvl w:val="0"/>
          <w:numId w:val="2"/>
        </w:numPr>
        <w:rPr/>
      </w:pPr>
      <w:r>
        <w:rPr/>
        <w:t xml:space="preserve">Use a protein assay kit (BioRad) to analyze the concentration of your antibody.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">
    <w:altName w:val="Times New Roman"/>
    <w:charset w:val="00"/>
    <w:family w:val="auto"/>
    <w:pitch w:val="variable"/>
  </w:font>
  <w:font w:name="Symbol">
    <w:charset w:val="02"/>
    <w:family w:val="auto"/>
    <w:pitch w:val="variable"/>
  </w:font>
  <w:font w:name="Courier New">
    <w:charset w:val="00"/>
    <w:family w:val="auto"/>
    <w:pitch w:val="variable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Courier New">
    <w:charset w:val="00"/>
    <w:family w:val="moder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" w:hAnsi="Times" w:eastAsia="Times" w:cs="Times"/>
      <w:color w:val="auto"/>
      <w:sz w:val="24"/>
      <w:szCs w:val="20"/>
      <w:lang w:val="en-US" w:eastAsia="zh-CN" w:bidi="hi-I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Times New Roman" w:hAnsi="Times New Roman" w:eastAsia="Times" w:cs="Times New Roman"/>
    </w:rPr>
  </w:style>
  <w:style w:type="character" w:styleId="WW8Num1z4">
    <w:name w:val="WW8Num1z4"/>
    <w:qFormat/>
    <w:rPr>
      <w:rFonts w:ascii="Courier New" w:hAnsi="Courier New" w:cs="Courier New"/>
    </w:rPr>
  </w:style>
  <w:style w:type="character" w:styleId="WW8Num1z5">
    <w:name w:val="WW8Num1z5"/>
    <w:qFormat/>
    <w:rPr>
      <w:rFonts w:ascii="Wingdings" w:hAnsi="Wingdings" w:cs="Wingdings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2007-05-31T11:13:00Z</dcterms:created>
  <dc:creator>Ananda Goldrath</dc:creator>
  <dc:description/>
  <dc:language>en-US</dc:language>
  <cp:lastModifiedBy>Ananda Goldrath</cp:lastModifiedBy>
  <dcterms:modified xsi:type="dcterms:W3CDTF">2007-05-31T11:13:00Z</dcterms:modified>
  <cp:revision>2</cp:revision>
  <dc:subject/>
  <dc:title>Purification of Antibodies:</dc:title>
</cp:coreProperties>
</file>