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both"/>
        <w:rPr>
          <w:i/>
          <w:i/>
          <w:u w:val="single"/>
        </w:rPr>
      </w:pPr>
      <w:r>
        <w:rPr>
          <w:i/>
          <w:u w:val="single"/>
        </w:rPr>
        <w:t>Th cell differentiation in vitro protocol</w:t>
      </w:r>
    </w:p>
    <w:p>
      <w:pPr>
        <w:pStyle w:val="Normal"/>
        <w:spacing w:lineRule="auto" w:line="480"/>
        <w:jc w:val="both"/>
        <w:rPr/>
      </w:pPr>
      <w:r>
        <w:rPr>
          <w:i/>
          <w:u w:val="single"/>
        </w:rPr>
        <w:t>Antibodies and reagents</w:t>
      </w:r>
      <w:r>
        <w:rPr>
          <w:u w:val="single"/>
        </w:rPr>
        <w:t xml:space="preserve"> </w:t>
      </w:r>
    </w:p>
    <w:p>
      <w:pPr>
        <w:pStyle w:val="Normal"/>
        <w:spacing w:lineRule="auto" w:line="480"/>
        <w:jc w:val="both"/>
        <w:rPr/>
      </w:pPr>
      <w:r>
        <w:rPr/>
        <w:t xml:space="preserve">Media is </w:t>
      </w:r>
      <w:r>
        <w:rPr>
          <w:rFonts w:cs="ArialMT;Arial"/>
          <w:szCs w:val="26"/>
          <w:lang w:bidi="en-US"/>
        </w:rPr>
        <w:t xml:space="preserve">RPMI 1640 (for Th1 and Th2) or IMDM (for Th17) supplemented with 10% FBS, 0.5% penicillin/streptomycin, 2 mM L-glutamine, 1 mM sodium pyruvate, 10 mM Hepes, non-essential amino acids and 50 </w:t>
      </w:r>
      <w:r>
        <w:rPr>
          <w:rFonts w:cs="ArialMT;Arial" w:ascii="Symbol" w:hAnsi="Symbol"/>
          <w:szCs w:val="26"/>
          <w:lang w:bidi="en-US"/>
        </w:rPr>
        <w:t>m</w:t>
      </w:r>
      <w:r>
        <w:rPr>
          <w:rFonts w:cs="ArialMT;Arial"/>
          <w:szCs w:val="26"/>
          <w:lang w:bidi="en-US"/>
        </w:rPr>
        <w:t xml:space="preserve">M </w:t>
      </w:r>
      <w:r>
        <w:rPr>
          <w:rFonts w:cs="Symbol" w:ascii="Symbol" w:hAnsi="Symbol"/>
        </w:rPr>
        <w:t>b</w:t>
      </w:r>
      <w:r>
        <w:rPr/>
        <w:t>-Mercaptoethanol.</w:t>
      </w:r>
    </w:p>
    <w:p>
      <w:pPr>
        <w:pStyle w:val="Normal"/>
        <w:spacing w:lineRule="auto" w:line="480"/>
        <w:jc w:val="both"/>
        <w:rPr/>
      </w:pPr>
      <w:r>
        <w:rPr/>
      </w:r>
    </w:p>
    <w:p>
      <w:pPr>
        <w:pStyle w:val="Normal"/>
        <w:spacing w:lineRule="auto" w:line="480"/>
        <w:jc w:val="both"/>
        <w:rPr/>
      </w:pPr>
      <w:r>
        <w:rPr/>
        <w:t>Mouse specific anti-CD3 (2C11), anti-CD28 (PV1) and anti-IFN</w:t>
      </w:r>
      <w:r>
        <w:rPr>
          <w:rFonts w:cs="Symbol" w:ascii="Symbol" w:hAnsi="Symbol"/>
        </w:rPr>
        <w:t>g</w:t>
      </w:r>
      <w:r>
        <w:rPr/>
        <w:t xml:space="preserve"> (R4/GA2) antibodies were from Bio Express (West Lebanon, NH, USA). Human IL-2 was from NCI Biological Resources Branch (Frederick, MD, USA). Mouse IL-4, IL-12 and IL23 and mouse-specific anti-IL-4 (11B11) antibody were from eBioscience. Mouse IL-6 and human TGF-</w:t>
      </w:r>
      <w:r>
        <w:rPr>
          <w:rFonts w:cs="Symbol" w:ascii="Symbol" w:hAnsi="Symbol"/>
        </w:rPr>
        <w:t>b</w:t>
      </w:r>
      <w:r>
        <w:rPr/>
        <w:t xml:space="preserve">1 were from R&amp;D Systems. </w:t>
      </w:r>
    </w:p>
    <w:p>
      <w:pPr>
        <w:pStyle w:val="Normal"/>
        <w:spacing w:lineRule="auto" w:line="480"/>
        <w:jc w:val="both"/>
        <w:rPr>
          <w:rFonts w:cs="ArialMT;Arial"/>
          <w:szCs w:val="26"/>
          <w:lang w:bidi="en-US"/>
        </w:rPr>
      </w:pPr>
      <w:r>
        <w:rPr>
          <w:rFonts w:cs="ArialMT;Arial"/>
          <w:szCs w:val="26"/>
          <w:lang w:bidi="en-US"/>
        </w:rPr>
      </w:r>
    </w:p>
    <w:p>
      <w:pPr>
        <w:pStyle w:val="Normal"/>
        <w:spacing w:lineRule="auto" w:line="480"/>
        <w:jc w:val="both"/>
        <w:rPr/>
      </w:pPr>
      <w:r>
        <w:rPr>
          <w:i/>
          <w:u w:val="single"/>
        </w:rPr>
        <w:t>Helper T cell (Th) differentiation</w:t>
      </w:r>
      <w:r>
        <w:rPr>
          <w:u w:val="single"/>
        </w:rPr>
        <w:t xml:space="preserve"> </w:t>
      </w:r>
    </w:p>
    <w:p>
      <w:pPr>
        <w:pStyle w:val="Normal"/>
        <w:spacing w:lineRule="auto" w:line="480"/>
        <w:jc w:val="both"/>
        <w:rPr/>
      </w:pPr>
      <w:r>
        <w:rPr/>
        <w:t xml:space="preserve">Coat a 24-well plate O/N @ 4 °C with </w:t>
      </w:r>
      <w:r>
        <w:rPr>
          <w:rFonts w:cs="Verdana"/>
          <w:szCs w:val="22"/>
          <w:lang w:bidi="en-US"/>
        </w:rPr>
        <w:t xml:space="preserve">1 </w:t>
      </w:r>
      <w:r>
        <w:rPr>
          <w:rFonts w:cs="Verdana" w:ascii="Symbol" w:hAnsi="Symbol"/>
          <w:szCs w:val="22"/>
          <w:lang w:bidi="en-US"/>
        </w:rPr>
        <w:t>m</w:t>
      </w:r>
      <w:r>
        <w:rPr>
          <w:rFonts w:cs="Verdana"/>
          <w:szCs w:val="22"/>
          <w:lang w:bidi="en-US"/>
        </w:rPr>
        <w:t xml:space="preserve">g/ml anti-CD3 and 2 </w:t>
      </w:r>
      <w:r>
        <w:rPr>
          <w:rFonts w:cs="Verdana" w:ascii="Symbol" w:hAnsi="Symbol"/>
          <w:szCs w:val="22"/>
          <w:lang w:bidi="en-US"/>
        </w:rPr>
        <w:t>m</w:t>
      </w:r>
      <w:r>
        <w:rPr>
          <w:rFonts w:cs="Verdana"/>
          <w:szCs w:val="22"/>
          <w:lang w:bidi="en-US"/>
        </w:rPr>
        <w:t xml:space="preserve">g/ml anti-CD28 antibodies. This is Day -1! 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>Prior to use wash once with sterile PBS.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</w:r>
    </w:p>
    <w:p>
      <w:pPr>
        <w:pStyle w:val="Normal"/>
        <w:spacing w:lineRule="auto" w:line="480"/>
        <w:jc w:val="both"/>
        <w:rPr/>
      </w:pPr>
      <w:r>
        <w:rPr/>
        <w:t>Naïve T cells were isolated from mouse spleens and lymph nodes using the CD4</w:t>
      </w:r>
      <w:r>
        <w:rPr>
          <w:vertAlign w:val="superscript"/>
        </w:rPr>
        <w:t>+</w:t>
      </w:r>
      <w:r>
        <w:rPr/>
        <w:t>CD62L</w:t>
      </w:r>
      <w:r>
        <w:rPr>
          <w:vertAlign w:val="superscript"/>
        </w:rPr>
        <w:t>+</w:t>
      </w:r>
      <w:r>
        <w:rPr/>
        <w:t xml:space="preserve"> MACS kit from Myltenyi Biotec (</w:t>
      </w:r>
      <w:r>
        <w:rPr>
          <w:rFonts w:cs="Verdana"/>
          <w:szCs w:val="22"/>
          <w:lang w:bidi="en-US"/>
        </w:rPr>
        <w:t>Bergisch Gladbach, Germany) and seeded into plates anti-CD3/anti-CD28 coated plates @ 10</w:t>
      </w:r>
      <w:r>
        <w:rPr>
          <w:rFonts w:cs="Verdana"/>
          <w:szCs w:val="22"/>
          <w:vertAlign w:val="superscript"/>
          <w:lang w:bidi="en-US"/>
        </w:rPr>
        <w:t>6</w:t>
      </w:r>
      <w:r>
        <w:rPr>
          <w:rFonts w:cs="Verdana"/>
          <w:szCs w:val="22"/>
          <w:lang w:bidi="en-US"/>
        </w:rPr>
        <w:t>/ml in 2ml/well. This is Day 0!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 xml:space="preserve">Helper T cell differentiation was induced by the following reagents: 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>- for Th1 in complete RPMI: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 xml:space="preserve">IL-2 (100 u/ml), 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 xml:space="preserve">IL-12 (10 ng/ml) and 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/>
      </w:pPr>
      <w:r>
        <w:rPr>
          <w:rFonts w:cs="Verdana"/>
          <w:szCs w:val="22"/>
          <w:lang w:bidi="en-US"/>
        </w:rPr>
        <w:t xml:space="preserve">anti-IL-4 antibody (10 </w:t>
      </w:r>
      <w:r>
        <w:rPr>
          <w:rFonts w:cs="Verdana" w:ascii="Symbol" w:hAnsi="Symbol"/>
          <w:szCs w:val="22"/>
          <w:lang w:bidi="en-US"/>
        </w:rPr>
        <w:t>m</w:t>
      </w:r>
      <w:r>
        <w:rPr>
          <w:rFonts w:cs="Verdana"/>
          <w:szCs w:val="22"/>
          <w:lang w:bidi="en-US"/>
        </w:rPr>
        <w:t xml:space="preserve">g/ml); 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 xml:space="preserve">- for Th2 in complete RPMI: 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 xml:space="preserve">IL-2 (100 u/ml), 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 xml:space="preserve">IL-4 (10 ng/ml) and 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/>
      </w:pPr>
      <w:r>
        <w:rPr>
          <w:rFonts w:cs="Verdana"/>
          <w:szCs w:val="22"/>
          <w:lang w:bidi="en-US"/>
        </w:rPr>
        <w:t>anti-IFN</w:t>
      </w:r>
      <w:r>
        <w:rPr>
          <w:rFonts w:cs="Verdana" w:ascii="Symbol" w:hAnsi="Symbol"/>
          <w:szCs w:val="22"/>
          <w:lang w:bidi="en-US"/>
        </w:rPr>
        <w:t>g</w:t>
      </w:r>
      <w:r>
        <w:rPr>
          <w:rFonts w:cs="Verdana"/>
          <w:szCs w:val="22"/>
          <w:lang w:bidi="en-US"/>
        </w:rPr>
        <w:t xml:space="preserve"> antibody (10 </w:t>
      </w:r>
      <w:r>
        <w:rPr>
          <w:rFonts w:cs="Verdana" w:ascii="Symbol" w:hAnsi="Symbol"/>
          <w:szCs w:val="22"/>
          <w:lang w:bidi="en-US"/>
        </w:rPr>
        <w:t>m</w:t>
      </w:r>
      <w:r>
        <w:rPr>
          <w:rFonts w:cs="Verdana"/>
          <w:szCs w:val="22"/>
          <w:lang w:bidi="en-US"/>
        </w:rPr>
        <w:t xml:space="preserve">g/ml). 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>On Day 3, expand each well of Th2 into a well of a 6-well plate containing 2 more ml of fresh media with IL-2 (same as above). Pool 2 wells of Th1 into a well of a 6-well plate containing 2 more ml of fresh media with IL-2 (same as above).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 xml:space="preserve">Th1 and Th2 cells were analyzed on Day 5 or Day 7. </w:t>
      </w:r>
    </w:p>
    <w:p>
      <w:pPr>
        <w:pStyle w:val="Normal"/>
        <w:tabs>
          <w:tab w:val="clear" w:pos="720"/>
          <w:tab w:val="left" w:pos="360" w:leader="none"/>
        </w:tabs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</w:r>
    </w:p>
    <w:p>
      <w:pPr>
        <w:pStyle w:val="Normal"/>
        <w:spacing w:lineRule="auto" w:line="480"/>
        <w:jc w:val="both"/>
        <w:rPr/>
      </w:pPr>
      <w:r>
        <w:rPr>
          <w:rFonts w:cs="Verdana"/>
          <w:szCs w:val="22"/>
          <w:lang w:bidi="en-US"/>
        </w:rPr>
        <w:t>Th17 were grown in complete IMDM with IL-6 (20 ng/ml), IL-23 (10 ng/ml), TGF-</w:t>
      </w:r>
      <w:r>
        <w:rPr>
          <w:rFonts w:cs="Verdana" w:ascii="Symbol" w:hAnsi="Symbol"/>
          <w:szCs w:val="22"/>
          <w:lang w:bidi="en-US"/>
        </w:rPr>
        <w:t>b</w:t>
      </w:r>
      <w:r>
        <w:rPr>
          <w:rFonts w:cs="Verdana"/>
          <w:szCs w:val="22"/>
          <w:lang w:bidi="en-US"/>
        </w:rPr>
        <w:t xml:space="preserve">1 (0.3 ng/ml), anti-IL-4 antibody (10 </w:t>
      </w:r>
      <w:r>
        <w:rPr>
          <w:rFonts w:cs="Verdana" w:ascii="Symbol" w:hAnsi="Symbol"/>
          <w:szCs w:val="22"/>
          <w:lang w:bidi="en-US"/>
        </w:rPr>
        <w:t>m</w:t>
      </w:r>
      <w:r>
        <w:rPr>
          <w:rFonts w:cs="Verdana"/>
          <w:szCs w:val="22"/>
          <w:lang w:bidi="en-US"/>
        </w:rPr>
        <w:t>g/ml) and anti-IFN</w:t>
      </w:r>
      <w:r>
        <w:rPr>
          <w:rFonts w:cs="Verdana" w:ascii="Symbol" w:hAnsi="Symbol"/>
          <w:szCs w:val="22"/>
          <w:lang w:bidi="en-US"/>
        </w:rPr>
        <w:t>g</w:t>
      </w:r>
      <w:r>
        <w:rPr>
          <w:rFonts w:cs="Verdana"/>
          <w:szCs w:val="22"/>
          <w:lang w:bidi="en-US"/>
        </w:rPr>
        <w:t xml:space="preserve"> antibody (10 </w:t>
      </w:r>
      <w:r>
        <w:rPr>
          <w:rFonts w:cs="Verdana" w:ascii="Symbol" w:hAnsi="Symbol"/>
          <w:szCs w:val="22"/>
          <w:lang w:bidi="en-US"/>
        </w:rPr>
        <w:t>m</w:t>
      </w:r>
      <w:r>
        <w:rPr>
          <w:rFonts w:cs="Verdana"/>
          <w:szCs w:val="22"/>
          <w:lang w:bidi="en-US"/>
        </w:rPr>
        <w:t xml:space="preserve">g/ml). 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  <w:t>Th17 cells were analyzed on Day 4 (no pooling or change of media necessary!).</w:t>
      </w:r>
    </w:p>
    <w:p>
      <w:pPr>
        <w:pStyle w:val="Normal"/>
        <w:spacing w:lineRule="auto" w:line="480"/>
        <w:jc w:val="both"/>
        <w:rPr>
          <w:rFonts w:cs="Verdana"/>
          <w:szCs w:val="22"/>
          <w:lang w:bidi="en-US"/>
        </w:rPr>
      </w:pPr>
      <w:r>
        <w:rPr>
          <w:rFonts w:cs="Verdana"/>
          <w:szCs w:val="22"/>
          <w:lang w:bidi="en-US"/>
        </w:rPr>
      </w:r>
    </w:p>
    <w:p>
      <w:pPr>
        <w:pStyle w:val="Normal"/>
        <w:spacing w:lineRule="auto" w:line="480"/>
        <w:jc w:val="both"/>
        <w:rPr>
          <w:rFonts w:cs="Verdana"/>
          <w:i/>
          <w:i/>
          <w:szCs w:val="22"/>
          <w:u w:val="single"/>
          <w:lang w:bidi="en-US"/>
        </w:rPr>
      </w:pPr>
      <w:r>
        <w:rPr>
          <w:rFonts w:cs="Verdana"/>
          <w:i/>
          <w:szCs w:val="22"/>
          <w:u w:val="single"/>
          <w:lang w:bidi="en-US"/>
        </w:rPr>
        <w:t>Th cell analysis</w:t>
      </w:r>
    </w:p>
    <w:p>
      <w:pPr>
        <w:pStyle w:val="Normal"/>
        <w:spacing w:lineRule="auto" w:line="480"/>
        <w:jc w:val="both"/>
        <w:rPr/>
      </w:pPr>
      <w:r>
        <w:rPr>
          <w:rFonts w:cs="Verdana"/>
          <w:szCs w:val="22"/>
          <w:lang w:bidi="en-US"/>
        </w:rPr>
        <w:t xml:space="preserve">Cells can be analyzed before re-stimulation (“naïve” Th1, 2 or 17 cells) or after re-stim – the re-stim can be done with either anti-CD3 (can be coated on a plate (preffered) or added in solution; no anti-CD28 is necessary at this step!) or with PMA (50 ng/ml) plus Ionomycin (1 </w:t>
      </w:r>
      <w:r>
        <w:rPr>
          <w:rFonts w:cs="Verdana" w:ascii="Symbol" w:hAnsi="Symbol"/>
          <w:szCs w:val="22"/>
          <w:lang w:bidi="en-US"/>
        </w:rPr>
        <w:t>m</w:t>
      </w:r>
      <w:r>
        <w:rPr>
          <w:rFonts w:cs="Verdana"/>
          <w:szCs w:val="22"/>
          <w:lang w:bidi="en-US"/>
        </w:rPr>
        <w:t>M), depending on which function is analyzed!</w:t>
      </w:r>
    </w:p>
    <w:p>
      <w:pPr>
        <w:pStyle w:val="Normal"/>
        <w:spacing w:lineRule="auto" w:line="480"/>
        <w:jc w:val="both"/>
        <w:rPr/>
      </w:pPr>
      <w:r>
        <w:rPr>
          <w:rFonts w:cs="Verdana"/>
          <w:szCs w:val="22"/>
          <w:lang w:bidi="en-US"/>
        </w:rPr>
        <w:t>Typically, PMA/I stim is used if cells are analyzed for intracellular cytokines for FACS (5h @ 37</w:t>
      </w:r>
      <w:r>
        <w:rPr/>
        <w:t xml:space="preserve"> °C </w:t>
      </w:r>
      <w:r>
        <w:rPr>
          <w:rFonts w:cs="Verdana"/>
          <w:szCs w:val="22"/>
          <w:lang w:bidi="en-US"/>
        </w:rPr>
        <w:t>stim – add Brefeldin A for entire duration of stim! Follow intracellular cytokine FACS protocol afterwards!), and anti-CD3 stim is used for cytokine analysis by ELISA (24 h @</w:t>
      </w:r>
      <w:r>
        <w:rPr/>
        <w:t xml:space="preserve"> °C stim).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Lucida Grande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/>
    <w:rPr>
      <w:rFonts w:ascii="Lucida Grande" w:hAnsi="Lucida Grande" w:cs="Lucida Grande"/>
      <w:sz w:val="18"/>
      <w:szCs w:val="18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2010-03-23T11:26:00Z</dcterms:created>
  <dc:creator>Sanja Arandjelovic</dc:creator>
  <dc:description/>
  <cp:keywords/>
  <dc:language>en-US</dc:language>
  <cp:lastModifiedBy>Sanja Arandjelovic</cp:lastModifiedBy>
  <dcterms:modified xsi:type="dcterms:W3CDTF">2010-03-23T12:39:00Z</dcterms:modified>
  <cp:revision>20</cp:revision>
  <dc:subject/>
  <dc:title>Antibodies and reagents – Mouse Coronin-1A specific antibody was a kind gift from Dr</dc:title>
</cp:coreProperties>
</file>