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293A5" w14:textId="77777777" w:rsidR="00F00810" w:rsidRPr="00F00810" w:rsidRDefault="00F00810" w:rsidP="00F00810">
      <w:pPr>
        <w:rPr>
          <w:b/>
          <w:bCs/>
        </w:rPr>
      </w:pPr>
      <w:r w:rsidRPr="00F00810">
        <w:rPr>
          <w:b/>
          <w:bCs/>
        </w:rPr>
        <w:t>Interview Summary: Western Pennsylvania School for the Blind Children</w:t>
      </w:r>
    </w:p>
    <w:p w14:paraId="51D6D8D6" w14:textId="77777777" w:rsidR="00F00810" w:rsidRPr="00F00810" w:rsidRDefault="00F00810" w:rsidP="00F00810">
      <w:r w:rsidRPr="00F00810">
        <w:rPr>
          <w:b/>
          <w:bCs/>
        </w:rPr>
        <w:t>Participants:</w:t>
      </w:r>
      <w:r w:rsidRPr="00F00810">
        <w:t xml:space="preserve"> Ted Crum (Facilities Management; blind since birth), Katie Carson (Special Ed Supervisor, Middle Program), Danielle Waters (Audiology Specialist), Katherine Landon (Program Specialist), Kristen Rehberg (Special Ed Supervisor, Primary Program), Katie Majewski (Special Ed Supervisor, Secondary Program)</w:t>
      </w:r>
    </w:p>
    <w:p w14:paraId="7A392CC7" w14:textId="77777777" w:rsidR="004870DF" w:rsidRDefault="004870DF" w:rsidP="00F00810"/>
    <w:p w14:paraId="734124BF" w14:textId="77777777" w:rsidR="00F00810" w:rsidRPr="00F00810" w:rsidRDefault="00F00810" w:rsidP="00F00810">
      <w:pPr>
        <w:rPr>
          <w:b/>
          <w:bCs/>
        </w:rPr>
      </w:pPr>
      <w:r w:rsidRPr="00F00810">
        <w:rPr>
          <w:b/>
          <w:bCs/>
        </w:rPr>
        <w:t>Who Benefits Most from a Device Like ODAV</w:t>
      </w:r>
    </w:p>
    <w:p w14:paraId="252B95B2" w14:textId="69F68AC8" w:rsidR="00F00810" w:rsidRPr="00F00810" w:rsidRDefault="00F00810" w:rsidP="00F00810">
      <w:r w:rsidRPr="00F00810">
        <w:t xml:space="preserve">The group drew a clear distinction between people adjusting to </w:t>
      </w:r>
      <w:r>
        <w:t xml:space="preserve">recent </w:t>
      </w:r>
      <w:r w:rsidRPr="00F00810">
        <w:t>vision loss versus those who have lived with it long-term. ODAV-style devices are seen as most valuable for people still adapting</w:t>
      </w:r>
      <w:r w:rsidR="00356F6C">
        <w:t xml:space="preserve"> to vision loss</w:t>
      </w:r>
      <w:r w:rsidRPr="00F00810">
        <w:t xml:space="preserve">, </w:t>
      </w:r>
      <w:r w:rsidR="00356F6C">
        <w:t>primarily</w:t>
      </w:r>
      <w:r w:rsidRPr="00F00810">
        <w:t xml:space="preserve"> children</w:t>
      </w:r>
      <w:r w:rsidR="00003C63">
        <w:t>.</w:t>
      </w:r>
      <w:r w:rsidRPr="00F00810">
        <w:t xml:space="preserve"> </w:t>
      </w:r>
      <w:r w:rsidR="00003C63">
        <w:t>T</w:t>
      </w:r>
      <w:r w:rsidRPr="00F00810">
        <w:t>hose born blind, who have already developed their own systems and</w:t>
      </w:r>
      <w:r w:rsidR="00356F6C">
        <w:t>/or</w:t>
      </w:r>
      <w:r w:rsidRPr="00F00810">
        <w:t xml:space="preserve"> tools for navigation</w:t>
      </w:r>
      <w:r w:rsidR="00003C63">
        <w:t>, may not find ODAV appealing</w:t>
      </w:r>
      <w:r w:rsidRPr="00F00810">
        <w:t xml:space="preserve">. Introducing a </w:t>
      </w:r>
      <w:r w:rsidR="00003C63" w:rsidRPr="00F00810">
        <w:t>new device risk</w:t>
      </w:r>
      <w:r w:rsidRPr="00F00810">
        <w:t xml:space="preserve"> disrupting those established habits rather than helping.</w:t>
      </w:r>
      <w:r w:rsidR="00003C63">
        <w:t xml:space="preserve"> Additionally, if the visually impaired user has other impairments, such as hearing impairments, they may have trouble using the device.</w:t>
      </w:r>
    </w:p>
    <w:p w14:paraId="141A8D22" w14:textId="77777777" w:rsidR="00F00810" w:rsidRPr="00F00810" w:rsidRDefault="00F00810" w:rsidP="00F00810">
      <w:pPr>
        <w:rPr>
          <w:b/>
          <w:bCs/>
        </w:rPr>
      </w:pPr>
      <w:proofErr w:type="gramStart"/>
      <w:r w:rsidRPr="00F00810">
        <w:rPr>
          <w:b/>
          <w:bCs/>
        </w:rPr>
        <w:t>How</w:t>
      </w:r>
      <w:proofErr w:type="gramEnd"/>
      <w:r w:rsidRPr="00F00810">
        <w:rPr>
          <w:b/>
          <w:bCs/>
        </w:rPr>
        <w:t xml:space="preserve"> Blind Individuals Currently Navigate</w:t>
      </w:r>
    </w:p>
    <w:p w14:paraId="59A4FF0E" w14:textId="5C46A602" w:rsidR="00F00810" w:rsidRPr="00F00810" w:rsidRDefault="00F00810" w:rsidP="00F00810">
      <w:r w:rsidRPr="00F00810">
        <w:t>Canes</w:t>
      </w:r>
      <w:r w:rsidR="00670C80">
        <w:t xml:space="preserve"> or walking sticks</w:t>
      </w:r>
      <w:r w:rsidRPr="00F00810">
        <w:t xml:space="preserve"> remain the primary tool</w:t>
      </w:r>
      <w:r w:rsidR="00356F6C">
        <w:t xml:space="preserve"> to assist in navigating when one is visually impaired; however, there </w:t>
      </w:r>
      <w:r w:rsidR="00003C63">
        <w:t>exists</w:t>
      </w:r>
      <w:r w:rsidR="00356F6C">
        <w:t xml:space="preserve"> one notable limitation.  </w:t>
      </w:r>
      <w:r w:rsidR="00003C63">
        <w:t>A cane</w:t>
      </w:r>
      <w:r w:rsidR="00356F6C">
        <w:t xml:space="preserve"> can </w:t>
      </w:r>
      <w:r w:rsidRPr="00F00810">
        <w:t xml:space="preserve">detect obstacles below the waist well, but </w:t>
      </w:r>
      <w:r w:rsidR="00356F6C">
        <w:t>it cannot detect obstacles above the waist</w:t>
      </w:r>
      <w:r w:rsidRPr="00F00810">
        <w:t xml:space="preserve">. Familiarity with </w:t>
      </w:r>
      <w:r w:rsidR="00003C63" w:rsidRPr="00F00810">
        <w:t>a space</w:t>
      </w:r>
      <w:r w:rsidR="00356F6C">
        <w:t xml:space="preserve"> to a visually impaired person </w:t>
      </w:r>
      <w:r w:rsidRPr="00F00810">
        <w:t xml:space="preserve">matters </w:t>
      </w:r>
      <w:r w:rsidR="00356F6C">
        <w:t>greatly</w:t>
      </w:r>
      <w:r w:rsidRPr="00F00810">
        <w:t xml:space="preserve">. </w:t>
      </w:r>
      <w:r w:rsidR="00670C80">
        <w:t xml:space="preserve">Visually impaired </w:t>
      </w:r>
      <w:r w:rsidR="00003C63">
        <w:t>people</w:t>
      </w:r>
      <w:r w:rsidRPr="00F00810">
        <w:t xml:space="preserve"> can navigate known buildings confidently using memory and routine, while</w:t>
      </w:r>
      <w:r w:rsidR="00356F6C">
        <w:t xml:space="preserve"> navigating </w:t>
      </w:r>
      <w:r w:rsidRPr="00F00810">
        <w:t xml:space="preserve">unfamiliar environments </w:t>
      </w:r>
      <w:r w:rsidR="00003C63" w:rsidRPr="00F00810">
        <w:t>is</w:t>
      </w:r>
      <w:r w:rsidRPr="00F00810">
        <w:t xml:space="preserve"> significantly harder, especially without sighted people</w:t>
      </w:r>
      <w:r w:rsidR="00670C80">
        <w:t xml:space="preserve"> or </w:t>
      </w:r>
      <w:r w:rsidR="00003C63">
        <w:t>devices</w:t>
      </w:r>
      <w:r w:rsidR="00670C80">
        <w:t xml:space="preserve"> to assist them</w:t>
      </w:r>
      <w:r w:rsidRPr="00F00810">
        <w:t>.</w:t>
      </w:r>
    </w:p>
    <w:p w14:paraId="29D9B4A6" w14:textId="36A2A756" w:rsidR="00F00810" w:rsidRPr="00F00810" w:rsidRDefault="00F00810" w:rsidP="00F00810">
      <w:r w:rsidRPr="00F00810">
        <w:t xml:space="preserve">Louder environments like heavy traffic </w:t>
      </w:r>
      <w:r w:rsidR="00670C80">
        <w:t xml:space="preserve">areas </w:t>
      </w:r>
      <w:r w:rsidRPr="00F00810">
        <w:t xml:space="preserve">or storms add another layer of difficulty, </w:t>
      </w:r>
      <w:proofErr w:type="gramStart"/>
      <w:r w:rsidRPr="00F00810">
        <w:t>masking</w:t>
      </w:r>
      <w:proofErr w:type="gramEnd"/>
      <w:r w:rsidRPr="00F00810">
        <w:t xml:space="preserve"> the ambient sound cues many visually impaired </w:t>
      </w:r>
      <w:r w:rsidR="00003C63" w:rsidRPr="00F00810">
        <w:t>p</w:t>
      </w:r>
      <w:r w:rsidR="00003C63">
        <w:t>eople</w:t>
      </w:r>
      <w:r w:rsidR="00670C80">
        <w:t xml:space="preserve"> generally</w:t>
      </w:r>
      <w:r w:rsidRPr="00F00810">
        <w:t xml:space="preserve"> rely on.</w:t>
      </w:r>
    </w:p>
    <w:p w14:paraId="1FF401C0" w14:textId="77777777" w:rsidR="00F00810" w:rsidRPr="00F00810" w:rsidRDefault="00F00810" w:rsidP="00F00810">
      <w:pPr>
        <w:rPr>
          <w:b/>
          <w:bCs/>
        </w:rPr>
      </w:pPr>
      <w:r w:rsidRPr="00F00810">
        <w:rPr>
          <w:b/>
          <w:bCs/>
        </w:rPr>
        <w:t>Sensory and Alert Design Considerations</w:t>
      </w:r>
    </w:p>
    <w:p w14:paraId="6EF3D420" w14:textId="59D89931" w:rsidR="00F00810" w:rsidRPr="00F00810" w:rsidRDefault="00F00810" w:rsidP="00F00810">
      <w:r w:rsidRPr="00F00810">
        <w:t xml:space="preserve">There is no </w:t>
      </w:r>
      <w:r w:rsidR="00670C80">
        <w:t>“</w:t>
      </w:r>
      <w:r w:rsidRPr="00F00810">
        <w:t>one-size-fits-all</w:t>
      </w:r>
      <w:r w:rsidR="00670C80">
        <w:t>”</w:t>
      </w:r>
      <w:r w:rsidRPr="00F00810">
        <w:t xml:space="preserve"> approach to audio feedback. Whether spatial audio or directional audio works better depends on the individual and how they learn. Similarly, audio cues may need to be learned before they </w:t>
      </w:r>
      <w:r w:rsidR="00670C80">
        <w:t xml:space="preserve">become </w:t>
      </w:r>
      <w:r w:rsidRPr="00F00810">
        <w:t>useful</w:t>
      </w:r>
      <w:r w:rsidR="00670C80">
        <w:t xml:space="preserve">, but </w:t>
      </w:r>
      <w:r w:rsidRPr="00F00810">
        <w:t>they tend to be less cognitively overwhelming than more complex feedback. The key principle is that any alert system should support natural navigation, not compete with it.</w:t>
      </w:r>
    </w:p>
    <w:p w14:paraId="1B1DC45E" w14:textId="77777777" w:rsidR="00F00810" w:rsidRPr="00F00810" w:rsidRDefault="00F00810" w:rsidP="00F00810">
      <w:r w:rsidRPr="00F00810">
        <w:t>For children especially, knowing the direction and approximate distance of an obstacle is important, not just that one exists.</w:t>
      </w:r>
    </w:p>
    <w:p w14:paraId="6002FD9F" w14:textId="77777777" w:rsidR="00F00810" w:rsidRPr="00F00810" w:rsidRDefault="00F00810" w:rsidP="00F00810">
      <w:pPr>
        <w:rPr>
          <w:b/>
          <w:bCs/>
        </w:rPr>
      </w:pPr>
      <w:r w:rsidRPr="00F00810">
        <w:rPr>
          <w:b/>
          <w:bCs/>
        </w:rPr>
        <w:t>Device Design and Usability</w:t>
      </w:r>
    </w:p>
    <w:p w14:paraId="6DC8B4CB" w14:textId="57DAC862" w:rsidR="00F00810" w:rsidRPr="00F00810" w:rsidRDefault="00F00810" w:rsidP="00F00810">
      <w:r w:rsidRPr="00F00810">
        <w:lastRenderedPageBreak/>
        <w:t xml:space="preserve">Comfort was ranked above raw functionality. If the device is not comfortable to wear, it will not be used. A simple on/off switch was flagged as a meaningful feature, since most existing devices lack that basic control. </w:t>
      </w:r>
    </w:p>
    <w:p w14:paraId="47CCCF80" w14:textId="77777777" w:rsidR="00F00810" w:rsidRPr="00F00810" w:rsidRDefault="00F00810" w:rsidP="00F00810">
      <w:r w:rsidRPr="00F00810">
        <w:t>Cost is a significant barrier for anyone paying out of pocket, with comparable assistive technology running upwards of $3,700. Government funding typically covers devices for educational use, but that does not help the general adult population.</w:t>
      </w:r>
    </w:p>
    <w:p w14:paraId="17412FCE" w14:textId="77777777" w:rsidR="00F00810" w:rsidRPr="00F00810" w:rsidRDefault="00F00810" w:rsidP="00F00810">
      <w:pPr>
        <w:rPr>
          <w:b/>
          <w:bCs/>
        </w:rPr>
      </w:pPr>
      <w:r w:rsidRPr="00F00810">
        <w:rPr>
          <w:b/>
          <w:bCs/>
        </w:rPr>
        <w:t>Miscellaneous Notes</w:t>
      </w:r>
    </w:p>
    <w:p w14:paraId="3AD39E32" w14:textId="4F6113DB" w:rsidR="00F00810" w:rsidRPr="00F00810" w:rsidRDefault="00F00810" w:rsidP="00F00810">
      <w:r w:rsidRPr="00F00810">
        <w:t xml:space="preserve">Red and white coloring on devices, consistent with </w:t>
      </w:r>
      <w:r w:rsidR="00670C80">
        <w:t xml:space="preserve">the conventional colors of a </w:t>
      </w:r>
      <w:r w:rsidRPr="00F00810">
        <w:t>walking stick</w:t>
      </w:r>
      <w:r w:rsidR="00670C80">
        <w:t xml:space="preserve"> or cane</w:t>
      </w:r>
      <w:r w:rsidRPr="00F00810">
        <w:t xml:space="preserve">, signals visual impairment to others and may be worth incorporating. Including a brief explanation card with the device was suggested </w:t>
      </w:r>
      <w:r w:rsidRPr="00F00810">
        <w:t>to</w:t>
      </w:r>
      <w:r w:rsidRPr="00F00810">
        <w:t xml:space="preserve"> help users and those around them understand its purpose quickly.</w:t>
      </w:r>
      <w:r>
        <w:t xml:space="preserve"> </w:t>
      </w:r>
      <w:r w:rsidRPr="00F00810">
        <w:t>For younger users, offering cosmetic customization options such as colors,</w:t>
      </w:r>
      <w:r w:rsidR="00003C63">
        <w:t xml:space="preserve"> voice preference,</w:t>
      </w:r>
      <w:r w:rsidRPr="00F00810">
        <w:t xml:space="preserve"> patterns, or attachable charms (</w:t>
      </w:r>
      <w:proofErr w:type="gramStart"/>
      <w:r w:rsidRPr="00F00810">
        <w:t>similar to</w:t>
      </w:r>
      <w:proofErr w:type="gramEnd"/>
      <w:r w:rsidRPr="00F00810">
        <w:t xml:space="preserve"> Crocs </w:t>
      </w:r>
      <w:proofErr w:type="spellStart"/>
      <w:r w:rsidRPr="00F00810">
        <w:t>Jibbitz</w:t>
      </w:r>
      <w:proofErr w:type="spellEnd"/>
      <w:r w:rsidRPr="00F00810">
        <w:t>) could make the device feel more personal and less clinical, which may improve willingness to wear it consistently.</w:t>
      </w:r>
    </w:p>
    <w:p w14:paraId="5823DFE6" w14:textId="19F11572" w:rsidR="00F00810" w:rsidRPr="00F00810" w:rsidRDefault="00F00810" w:rsidP="00F00810"/>
    <w:sectPr w:rsidR="00F00810" w:rsidRPr="00F008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F96872"/>
    <w:multiLevelType w:val="hybridMultilevel"/>
    <w:tmpl w:val="7312EE46"/>
    <w:lvl w:ilvl="0" w:tplc="7414806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2275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1C9"/>
    <w:rsid w:val="00003C63"/>
    <w:rsid w:val="00356F6C"/>
    <w:rsid w:val="0037653D"/>
    <w:rsid w:val="003C02BC"/>
    <w:rsid w:val="004870DF"/>
    <w:rsid w:val="005E01C9"/>
    <w:rsid w:val="00670C80"/>
    <w:rsid w:val="00C93F22"/>
    <w:rsid w:val="00F00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A24AE"/>
  <w15:chartTrackingRefBased/>
  <w15:docId w15:val="{323A2694-3492-4B9F-A80B-E7BB3FF6C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1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1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1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1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1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1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1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1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1C9"/>
    <w:rPr>
      <w:rFonts w:eastAsiaTheme="majorEastAsia" w:cstheme="majorBidi"/>
      <w:color w:val="272727" w:themeColor="text1" w:themeTint="D8"/>
    </w:rPr>
  </w:style>
  <w:style w:type="paragraph" w:styleId="Title">
    <w:name w:val="Title"/>
    <w:basedOn w:val="Normal"/>
    <w:next w:val="Normal"/>
    <w:link w:val="TitleChar"/>
    <w:uiPriority w:val="10"/>
    <w:qFormat/>
    <w:rsid w:val="005E0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1C9"/>
    <w:pPr>
      <w:spacing w:before="160"/>
      <w:jc w:val="center"/>
    </w:pPr>
    <w:rPr>
      <w:i/>
      <w:iCs/>
      <w:color w:val="404040" w:themeColor="text1" w:themeTint="BF"/>
    </w:rPr>
  </w:style>
  <w:style w:type="character" w:customStyle="1" w:styleId="QuoteChar">
    <w:name w:val="Quote Char"/>
    <w:basedOn w:val="DefaultParagraphFont"/>
    <w:link w:val="Quote"/>
    <w:uiPriority w:val="29"/>
    <w:rsid w:val="005E01C9"/>
    <w:rPr>
      <w:i/>
      <w:iCs/>
      <w:color w:val="404040" w:themeColor="text1" w:themeTint="BF"/>
    </w:rPr>
  </w:style>
  <w:style w:type="paragraph" w:styleId="ListParagraph">
    <w:name w:val="List Paragraph"/>
    <w:basedOn w:val="Normal"/>
    <w:uiPriority w:val="34"/>
    <w:qFormat/>
    <w:rsid w:val="005E01C9"/>
    <w:pPr>
      <w:ind w:left="720"/>
      <w:contextualSpacing/>
    </w:pPr>
  </w:style>
  <w:style w:type="character" w:styleId="IntenseEmphasis">
    <w:name w:val="Intense Emphasis"/>
    <w:basedOn w:val="DefaultParagraphFont"/>
    <w:uiPriority w:val="21"/>
    <w:qFormat/>
    <w:rsid w:val="005E01C9"/>
    <w:rPr>
      <w:i/>
      <w:iCs/>
      <w:color w:val="0F4761" w:themeColor="accent1" w:themeShade="BF"/>
    </w:rPr>
  </w:style>
  <w:style w:type="paragraph" w:styleId="IntenseQuote">
    <w:name w:val="Intense Quote"/>
    <w:basedOn w:val="Normal"/>
    <w:next w:val="Normal"/>
    <w:link w:val="IntenseQuoteChar"/>
    <w:uiPriority w:val="30"/>
    <w:qFormat/>
    <w:rsid w:val="005E0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1C9"/>
    <w:rPr>
      <w:i/>
      <w:iCs/>
      <w:color w:val="0F4761" w:themeColor="accent1" w:themeShade="BF"/>
    </w:rPr>
  </w:style>
  <w:style w:type="character" w:styleId="IntenseReference">
    <w:name w:val="Intense Reference"/>
    <w:basedOn w:val="DefaultParagraphFont"/>
    <w:uiPriority w:val="32"/>
    <w:qFormat/>
    <w:rsid w:val="005E01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2</Pages>
  <Words>510</Words>
  <Characters>2910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Coyne, Kevin Patrick</dc:creator>
  <cp:keywords/>
  <dc:description/>
  <cp:lastModifiedBy>Coyne, Kevin Patrick</cp:lastModifiedBy>
  <cp:revision>1</cp:revision>
  <dcterms:created xsi:type="dcterms:W3CDTF">2026-04-05T02:05:00Z</dcterms:created>
  <dcterms:modified xsi:type="dcterms:W3CDTF">2026-04-05T03:27:00Z</dcterms:modified>
</cp:coreProperties>
</file>