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tabs>
          <w:tab w:val="left" w:pos="572" w:leader="none"/>
        </w:tabs>
        <w:spacing w:before="97" w:after="0"/>
        <w:ind w:left="180" w:right="1580" w:firstLine="360"/>
        <w:jc w:val="center"/>
        <w:rPr>
          <w:sz w:val="28"/>
          <w:szCs w:val="28"/>
        </w:rPr>
      </w:pPr>
      <w:bookmarkStart w:id="0" w:name="Budget_Justification"/>
      <w:bookmarkStart w:id="1" w:name="Post%2525E2%252580%252593Processing"/>
      <w:bookmarkStart w:id="2" w:name="Goals_and_Significance"/>
      <w:bookmarkEnd w:id="0"/>
      <w:bookmarkEnd w:id="1"/>
      <w:bookmarkEnd w:id="2"/>
      <w:r>
        <w:rPr>
          <w:sz w:val="28"/>
          <w:szCs w:val="28"/>
        </w:rPr>
        <w:t>Budget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Justification</w:t>
      </w:r>
    </w:p>
    <w:p>
      <w:pPr>
        <w:pStyle w:val="Heading1"/>
        <w:tabs>
          <w:tab w:val="left" w:pos="572" w:leader="none"/>
        </w:tabs>
        <w:spacing w:before="97" w:after="0"/>
        <w:ind w:left="180" w:right="1580" w:first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extBody"/>
        <w:spacing w:lineRule="auto" w:line="288"/>
        <w:ind w:left="180" w:right="1580" w:firstLine="360"/>
        <w:rPr>
          <w:color w:val="000000" w:themeColor="text1"/>
          <w:sz w:val="24"/>
          <w:szCs w:val="24"/>
        </w:rPr>
      </w:pPr>
      <w:bookmarkStart w:id="3" w:name="Technical_Approach_and_Methodology"/>
      <w:bookmarkEnd w:id="3"/>
      <w:r>
        <w:rPr>
          <w:sz w:val="24"/>
          <w:szCs w:val="24"/>
        </w:rPr>
        <w:t xml:space="preserve">The budget includes salary, benefits, travel, publication charges, and indirect costs for the host institution of the PI as well as support for one graduate </w:t>
      </w:r>
      <w:r>
        <w:rPr>
          <w:sz w:val="24"/>
          <w:szCs w:val="24"/>
        </w:rPr>
        <w:t>student</w:t>
      </w:r>
      <w:r>
        <w:rPr>
          <w:sz w:val="24"/>
          <w:szCs w:val="24"/>
        </w:rPr>
        <w:t>.</w:t>
      </w:r>
      <w:r>
        <w:rPr>
          <w:color w:val="000000" w:themeColor="text1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Heading1"/>
        <w:numPr>
          <w:ilvl w:val="0"/>
          <w:numId w:val="2"/>
        </w:numPr>
        <w:tabs>
          <w:tab w:val="left" w:pos="752" w:leader="none"/>
        </w:tabs>
        <w:spacing w:lineRule="exact" w:line="238" w:before="160" w:after="0"/>
        <w:ind w:left="180" w:right="1584" w:firstLine="360"/>
        <w:rPr>
          <w:sz w:val="24"/>
          <w:szCs w:val="24"/>
        </w:rPr>
      </w:pPr>
      <w:r>
        <w:rPr>
          <w:sz w:val="24"/>
          <w:szCs w:val="24"/>
        </w:rPr>
        <w:t>Salaries and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Wages</w:t>
      </w:r>
    </w:p>
    <w:p>
      <w:pPr>
        <w:pStyle w:val="TextBody"/>
        <w:spacing w:lineRule="auto" w:line="288" w:before="48" w:after="0"/>
        <w:ind w:left="180" w:right="1580" w:firstLine="360"/>
        <w:rPr>
          <w:sz w:val="24"/>
          <w:szCs w:val="24"/>
        </w:rPr>
      </w:pPr>
      <w:r>
        <w:rPr>
          <w:sz w:val="24"/>
          <w:szCs w:val="24"/>
        </w:rPr>
        <w:t>Salaries for all personnel are based on current academic and staff salary scales for the PI’s institution. The institution defines a year as 9 academic and 3 summer months, September – August.</w:t>
      </w:r>
    </w:p>
    <w:p>
      <w:pPr>
        <w:pStyle w:val="Heading1"/>
        <w:numPr>
          <w:ilvl w:val="1"/>
          <w:numId w:val="2"/>
        </w:numPr>
        <w:tabs>
          <w:tab w:val="left" w:pos="931" w:leader="none"/>
        </w:tabs>
        <w:spacing w:before="160" w:after="0"/>
        <w:ind w:left="180" w:right="1584" w:firstLine="360"/>
        <w:rPr>
          <w:sz w:val="24"/>
          <w:szCs w:val="24"/>
        </w:rPr>
      </w:pPr>
      <w:bookmarkStart w:id="4" w:name="Photometric_Performance"/>
      <w:bookmarkEnd w:id="4"/>
      <w:r>
        <w:rPr>
          <w:sz w:val="24"/>
          <w:szCs w:val="24"/>
        </w:rPr>
        <w:t xml:space="preserve">Senior Personnel: </w:t>
      </w:r>
    </w:p>
    <w:p>
      <w:pPr>
        <w:pStyle w:val="Heading1"/>
        <w:numPr>
          <w:ilvl w:val="2"/>
          <w:numId w:val="2"/>
        </w:numPr>
        <w:tabs>
          <w:tab w:val="left" w:pos="931" w:leader="none"/>
        </w:tabs>
        <w:spacing w:lineRule="auto" w:line="360" w:before="160" w:after="0"/>
        <w:ind w:left="180" w:right="1584" w:firstLine="360"/>
        <w:rPr/>
      </w:pPr>
      <w:r>
        <w:rPr>
          <w:sz w:val="24"/>
          <w:szCs w:val="24"/>
        </w:rPr>
        <w:t xml:space="preserve">PI </w:t>
      </w:r>
      <w:bookmarkStart w:id="5" w:name="Publication_Costs"/>
      <w:bookmarkStart w:id="6" w:name="Photometry"/>
      <w:bookmarkStart w:id="7" w:name="Pipeline_Architecture"/>
      <w:bookmarkStart w:id="8" w:name="Supplies"/>
      <w:bookmarkStart w:id="9" w:name="Data_Management_Plan"/>
      <w:bookmarkEnd w:id="5"/>
      <w:bookmarkEnd w:id="6"/>
      <w:bookmarkEnd w:id="7"/>
      <w:bookmarkEnd w:id="8"/>
      <w:bookmarkEnd w:id="9"/>
    </w:p>
    <w:p>
      <w:pPr>
        <w:pStyle w:val="TextBody"/>
        <w:spacing w:lineRule="auto" w:line="288" w:before="0" w:after="0"/>
        <w:ind w:left="180" w:right="1580" w:firstLine="360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The budget provides a total of 2 months of summer salary support </w:t>
      </w:r>
      <w:r>
        <w:rPr>
          <w:spacing w:val="-3"/>
          <w:sz w:val="24"/>
          <w:szCs w:val="24"/>
        </w:rPr>
        <w:t xml:space="preserve">for the </w:t>
      </w:r>
      <w:r>
        <w:rPr>
          <w:sz w:val="24"/>
          <w:szCs w:val="24"/>
        </w:rPr>
        <w:t xml:space="preserve">PI </w:t>
      </w:r>
      <w:r>
        <w:rPr>
          <w:spacing w:val="-3"/>
          <w:sz w:val="24"/>
          <w:szCs w:val="24"/>
        </w:rPr>
        <w:t xml:space="preserve">over </w:t>
      </w:r>
      <w:r>
        <w:rPr>
          <w:sz w:val="24"/>
          <w:szCs w:val="24"/>
        </w:rPr>
        <w:t>the term of the proposal</w:t>
      </w:r>
      <w:r>
        <w:rPr>
          <w:color w:val="000000" w:themeColor="text1"/>
          <w:sz w:val="24"/>
          <w:szCs w:val="24"/>
        </w:rPr>
        <w:t>, 1 month for each of the two summers.</w:t>
      </w:r>
    </w:p>
    <w:p>
      <w:pPr>
        <w:pStyle w:val="TextBody"/>
        <w:spacing w:lineRule="auto" w:line="288" w:before="0" w:after="0"/>
        <w:ind w:left="180" w:right="1580" w:firstLine="360"/>
        <w:rPr/>
      </w:pPr>
      <w:r>
        <w:rPr>
          <w:spacing w:val="-4"/>
          <w:sz w:val="24"/>
          <w:szCs w:val="24"/>
        </w:rPr>
        <w:t>The PI’s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academic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year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salary</w:t>
      </w:r>
      <w:r>
        <w:rPr>
          <w:spacing w:val="7"/>
          <w:sz w:val="24"/>
          <w:szCs w:val="24"/>
        </w:rPr>
        <w:t xml:space="preserve"> (9 months) </w:t>
      </w:r>
      <w:r>
        <w:rPr>
          <w:sz w:val="24"/>
          <w:szCs w:val="24"/>
        </w:rPr>
        <w:t>is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fully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supported</w:t>
      </w:r>
      <w:r>
        <w:rPr>
          <w:spacing w:val="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by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his institution and an additional summer month of salary is provided for faculty who teach during the </w:t>
      </w:r>
      <w:r>
        <w:rPr>
          <w:sz w:val="24"/>
          <w:szCs w:val="24"/>
        </w:rPr>
        <w:t>s</w:t>
      </w:r>
      <w:r>
        <w:rPr>
          <w:sz w:val="24"/>
          <w:szCs w:val="24"/>
        </w:rPr>
        <w:t>ummer term</w:t>
      </w:r>
      <w:r>
        <w:rPr>
          <w:spacing w:val="-3"/>
          <w:sz w:val="24"/>
          <w:szCs w:val="24"/>
        </w:rPr>
        <w:t>.</w:t>
      </w:r>
    </w:p>
    <w:p>
      <w:pPr>
        <w:pStyle w:val="Heading1"/>
        <w:numPr>
          <w:ilvl w:val="1"/>
          <w:numId w:val="2"/>
        </w:numPr>
        <w:tabs>
          <w:tab w:val="left" w:pos="752" w:leader="none"/>
        </w:tabs>
        <w:spacing w:lineRule="exact" w:line="239" w:before="160" w:after="0"/>
        <w:ind w:left="180" w:right="1584" w:firstLine="360"/>
        <w:rPr/>
      </w:pPr>
      <w:r>
        <w:rPr>
          <w:sz w:val="24"/>
          <w:szCs w:val="24"/>
        </w:rPr>
        <w:t>Graduate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Student</w:t>
      </w:r>
    </w:p>
    <w:p>
      <w:pPr>
        <w:pStyle w:val="TextBody"/>
        <w:spacing w:lineRule="auto" w:line="288" w:before="42" w:after="0"/>
        <w:ind w:left="180" w:right="1580" w:firstLine="360"/>
        <w:rPr/>
      </w:pPr>
      <w:r>
        <w:rPr>
          <w:spacing w:val="-4"/>
          <w:sz w:val="24"/>
          <w:szCs w:val="24"/>
        </w:rPr>
        <w:t xml:space="preserve">The Ph.D. </w:t>
      </w:r>
      <w:r>
        <w:rPr>
          <w:sz w:val="24"/>
          <w:szCs w:val="24"/>
        </w:rPr>
        <w:t>student is a member of the PI</w:t>
      </w:r>
      <w:r>
        <w:rPr>
          <w:spacing w:val="-5"/>
          <w:sz w:val="24"/>
          <w:szCs w:val="24"/>
        </w:rPr>
        <w:t xml:space="preserve">’s research </w:t>
      </w:r>
      <w:r>
        <w:rPr>
          <w:sz w:val="24"/>
          <w:szCs w:val="24"/>
        </w:rPr>
        <w:t>group and contributed significantly in the preparation of this proposal. The student will be lead authors on at least two of the publications produced and a significant contributor on the other two.</w:t>
      </w:r>
      <w:bookmarkStart w:id="10" w:name="High_Precision_Photometry_Even_With_Larg"/>
      <w:bookmarkEnd w:id="10"/>
    </w:p>
    <w:p>
      <w:pPr>
        <w:pStyle w:val="TextBody"/>
        <w:spacing w:lineRule="auto" w:line="288" w:before="42" w:after="240"/>
        <w:ind w:left="180" w:right="1580" w:firstLine="360"/>
        <w:rPr>
          <w:sz w:val="24"/>
          <w:szCs w:val="24"/>
        </w:rPr>
      </w:pPr>
      <w:r>
        <w:rPr>
          <w:sz w:val="24"/>
          <w:szCs w:val="24"/>
        </w:rPr>
        <w:t>The proposal includes a total of 24 months of graduate student support over the two proposal years, 12 months for each proposal year.</w:t>
      </w:r>
    </w:p>
    <w:p>
      <w:pPr>
        <w:pStyle w:val="Heading1"/>
        <w:numPr>
          <w:ilvl w:val="0"/>
          <w:numId w:val="2"/>
        </w:numPr>
        <w:tabs>
          <w:tab w:val="left" w:pos="752" w:leader="none"/>
        </w:tabs>
        <w:spacing w:lineRule="exact" w:line="240" w:before="160" w:after="0"/>
        <w:ind w:left="180" w:right="1584" w:firstLine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Fringe Benefits</w:t>
      </w:r>
    </w:p>
    <w:p>
      <w:pPr>
        <w:pStyle w:val="TextBody"/>
        <w:spacing w:lineRule="auto" w:line="288" w:before="43" w:after="240"/>
        <w:ind w:left="180" w:right="1580" w:firstLine="360"/>
        <w:rPr/>
      </w:pPr>
      <w:bookmarkStart w:id="11" w:name="Computational_and_Storage_Feasibility"/>
      <w:bookmarkEnd w:id="11"/>
      <w:r>
        <w:rPr>
          <w:sz w:val="24"/>
          <w:szCs w:val="24"/>
        </w:rPr>
        <w:t xml:space="preserve">Employee benefits were estimated in accordance to commonly applied or historical rates used. </w:t>
      </w:r>
    </w:p>
    <w:p>
      <w:pPr>
        <w:pStyle w:val="Heading1"/>
        <w:numPr>
          <w:ilvl w:val="0"/>
          <w:numId w:val="2"/>
        </w:numPr>
        <w:tabs>
          <w:tab w:val="left" w:pos="752" w:leader="none"/>
        </w:tabs>
        <w:spacing w:lineRule="exact" w:line="240" w:before="160" w:after="0"/>
        <w:ind w:left="180" w:right="1584" w:firstLine="36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Travel</w:t>
      </w:r>
    </w:p>
    <w:p>
      <w:pPr>
        <w:pStyle w:val="TextBody"/>
        <w:spacing w:lineRule="auto" w:line="264" w:before="44" w:after="0"/>
        <w:ind w:left="180" w:right="1580" w:firstLine="360"/>
        <w:rPr>
          <w:sz w:val="24"/>
          <w:szCs w:val="24"/>
        </w:rPr>
      </w:pPr>
      <w:r>
        <w:rPr>
          <w:spacing w:val="-7"/>
          <w:sz w:val="24"/>
          <w:szCs w:val="24"/>
        </w:rPr>
        <w:t xml:space="preserve">Travel </w:t>
      </w:r>
      <w:r>
        <w:rPr>
          <w:sz w:val="24"/>
          <w:szCs w:val="24"/>
        </w:rPr>
        <w:t>to technical conferences and meetings held domestically are anticipated to disseminate the scientific results. Based on the work plan (see project description) we include support for 1 trip to a scientific conference for each proposal participant each year for a total of four trips</w:t>
      </w:r>
      <w:r>
        <w:rPr>
          <w:spacing w:val="-4"/>
          <w:sz w:val="24"/>
          <w:szCs w:val="24"/>
        </w:rPr>
        <w:t xml:space="preserve">. </w:t>
      </w:r>
      <w:r>
        <w:rPr>
          <w:sz w:val="24"/>
          <w:szCs w:val="24"/>
        </w:rPr>
        <w:t xml:space="preserve">Approximate estimated cost is $2,400 </w:t>
      </w:r>
      <w:r>
        <w:rPr>
          <w:spacing w:val="-3"/>
          <w:sz w:val="24"/>
          <w:szCs w:val="24"/>
        </w:rPr>
        <w:t xml:space="preserve">per </w:t>
      </w:r>
      <w:r>
        <w:rPr>
          <w:sz w:val="24"/>
          <w:szCs w:val="24"/>
        </w:rPr>
        <w:t>trip for the PI and 2035 for the graduate student or $8,870 total.  The cost was estimated using the most recent AAS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conference.</w:t>
      </w:r>
    </w:p>
    <w:p>
      <w:pPr>
        <w:pStyle w:val="TextBody"/>
        <w:spacing w:lineRule="auto" w:line="252" w:before="25" w:after="240"/>
        <w:ind w:left="180" w:right="1580" w:firstLine="360"/>
        <w:rPr/>
      </w:pPr>
      <w:r>
        <w:rPr>
          <w:sz w:val="24"/>
          <w:szCs w:val="24"/>
        </w:rPr>
        <w:t>American Astronomical Society meeting #241 Seattle, WA 8 – 12 Jan 2023. The registration fees for the meeting were $730 for full AAS members and $365 for graduate students. Airfare to LAX Airport is $360, ground transportation was estimated at $185 (uber). The hotel stay is $1025 total for four nights, and $25/day of per diem over four days were assumed.</w:t>
      </w:r>
    </w:p>
    <w:p>
      <w:pPr>
        <w:pStyle w:val="Heading1"/>
        <w:numPr>
          <w:ilvl w:val="0"/>
          <w:numId w:val="1"/>
        </w:numPr>
        <w:tabs>
          <w:tab w:val="left" w:pos="752" w:leader="none"/>
        </w:tabs>
        <w:spacing w:before="160" w:after="0"/>
        <w:ind w:left="180" w:right="1584" w:firstLine="360"/>
        <w:rPr>
          <w:sz w:val="24"/>
          <w:szCs w:val="24"/>
        </w:rPr>
      </w:pPr>
      <w:r>
        <w:rPr>
          <w:sz w:val="24"/>
          <w:szCs w:val="24"/>
        </w:rPr>
        <w:t>Publication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Costs</w:t>
      </w:r>
    </w:p>
    <w:p>
      <w:pPr>
        <w:pStyle w:val="TextBody"/>
        <w:spacing w:lineRule="auto" w:line="271" w:before="47" w:after="240"/>
        <w:ind w:left="180" w:right="1580" w:firstLine="360"/>
        <w:rPr/>
      </w:pPr>
      <w:r>
        <w:rPr>
          <w:spacing w:val="-4"/>
          <w:sz w:val="24"/>
          <w:szCs w:val="24"/>
        </w:rPr>
        <w:t xml:space="preserve">We </w:t>
      </w:r>
      <w:r>
        <w:rPr>
          <w:sz w:val="24"/>
          <w:szCs w:val="24"/>
        </w:rPr>
        <w:t xml:space="preserve">plan </w:t>
      </w:r>
      <w:r>
        <w:rPr>
          <w:spacing w:val="-3"/>
          <w:sz w:val="24"/>
          <w:szCs w:val="24"/>
        </w:rPr>
        <w:t>for four</w:t>
      </w:r>
      <w:r>
        <w:rPr>
          <w:sz w:val="24"/>
          <w:szCs w:val="24"/>
        </w:rPr>
        <w:t xml:space="preserve"> publications to be produced </w:t>
      </w:r>
      <w:r>
        <w:rPr>
          <w:spacing w:val="-3"/>
          <w:sz w:val="24"/>
          <w:szCs w:val="24"/>
        </w:rPr>
        <w:t xml:space="preserve">by </w:t>
      </w:r>
      <w:r>
        <w:rPr>
          <w:sz w:val="24"/>
          <w:szCs w:val="24"/>
        </w:rPr>
        <w:t xml:space="preserve">this project. </w:t>
      </w:r>
      <w:r>
        <w:rPr>
          <w:spacing w:val="-4"/>
          <w:sz w:val="24"/>
          <w:szCs w:val="24"/>
        </w:rPr>
        <w:t xml:space="preserve">We </w:t>
      </w:r>
      <w:r>
        <w:rPr>
          <w:sz w:val="24"/>
          <w:szCs w:val="24"/>
        </w:rPr>
        <w:t>will likely submit to the “American Astronomical Society Journals”. Assuming an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average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$1,900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per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article ($7,600 total for the project),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based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averages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past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publications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our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group. We expect 1 publication in year 1 and three in year 2 (see work plan in project description):</w:t>
      </w:r>
    </w:p>
    <w:p>
      <w:pPr>
        <w:pStyle w:val="Heading1"/>
        <w:numPr>
          <w:ilvl w:val="0"/>
          <w:numId w:val="1"/>
        </w:numPr>
        <w:tabs>
          <w:tab w:val="left" w:pos="752" w:leader="none"/>
        </w:tabs>
        <w:spacing w:before="160" w:after="0"/>
        <w:ind w:left="180" w:right="1584" w:firstLine="360"/>
        <w:rPr>
          <w:sz w:val="24"/>
          <w:szCs w:val="24"/>
        </w:rPr>
      </w:pPr>
      <w:r>
        <w:rPr>
          <w:sz w:val="24"/>
          <w:szCs w:val="24"/>
        </w:rPr>
        <w:t>Indirect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Costs:</w:t>
      </w:r>
    </w:p>
    <w:p>
      <w:pPr>
        <w:pStyle w:val="TextBody"/>
        <w:spacing w:lineRule="auto" w:line="288"/>
        <w:ind w:left="180" w:right="1580" w:firstLine="360"/>
        <w:rPr/>
      </w:pPr>
      <w:r>
        <w:rPr>
          <w:sz w:val="24"/>
          <w:szCs w:val="24"/>
        </w:rPr>
        <w:t xml:space="preserve">Indirect costs were estimated in </w:t>
      </w:r>
      <w:r>
        <w:rPr>
          <w:color w:val="000000" w:themeColor="text1"/>
          <w:sz w:val="24"/>
          <w:szCs w:val="24"/>
        </w:rPr>
        <w:t xml:space="preserve">accordance with </w:t>
      </w:r>
      <w:r>
        <w:rPr>
          <w:color w:val="000000" w:themeColor="text1"/>
          <w:spacing w:val="-3"/>
          <w:sz w:val="24"/>
          <w:szCs w:val="24"/>
        </w:rPr>
        <w:t>the PI institution’s rate agreement, which was approved by DHHS, the Federal Cognizant Audit Agency on 09/30/2020.</w:t>
      </w:r>
    </w:p>
    <w:sectPr>
      <w:headerReference w:type="default" r:id="rId2"/>
      <w:type w:val="nextPage"/>
      <w:pgSz w:w="12240" w:h="15840"/>
      <w:pgMar w:left="1300" w:right="0" w:header="677" w:top="1499" w:footer="0" w:bottom="1921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7" w:before="0" w:after="0"/>
      <w:ind w:left="0" w:right="0" w:hanging="0"/>
      <w:jc w:val="left"/>
      <w:rPr>
        <w:sz w:val="20"/>
      </w:rPr>
    </w:pPr>
    <w:r>
      <w:rPr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4"/>
      <w:numFmt w:val="decimal"/>
      <w:lvlText w:val="%1"/>
      <w:lvlJc w:val="left"/>
      <w:pPr>
        <w:ind w:left="751" w:hanging="634"/>
      </w:pPr>
    </w:lvl>
    <w:lvl w:ilvl="1">
      <w:start w:val="5"/>
      <w:numFmt w:val="decimal"/>
      <w:lvlText w:val="12.%2"/>
      <w:lvlJc w:val="left"/>
      <w:pPr>
        <w:ind w:left="751" w:hanging="634"/>
      </w:pPr>
      <w:rPr>
        <w:sz w:val="21"/>
        <w:b/>
        <w:szCs w:val="21"/>
        <w:bCs/>
        <w:w w:val="102"/>
        <w:rFonts w:eastAsia="Arial" w:cs="Arial"/>
      </w:rPr>
    </w:lvl>
    <w:lvl w:ilvl="2">
      <w:start w:val="1"/>
      <w:numFmt w:val="bullet"/>
      <w:lvlText w:val=""/>
      <w:lvlJc w:val="left"/>
      <w:pPr>
        <w:ind w:left="2796" w:hanging="634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ind w:left="3814" w:hanging="634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ind w:left="4832" w:hanging="634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ind w:left="5850" w:hanging="634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ind w:left="6868" w:hanging="634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ind w:left="7886" w:hanging="634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ind w:left="8904" w:hanging="634"/>
      </w:pPr>
      <w:rPr>
        <w:rFonts w:ascii="Symbol" w:hAnsi="Symbol" w:cs="Symbol" w:hint="default"/>
        <w:rFonts w:cs="Symbol"/>
      </w:rPr>
    </w:lvl>
  </w:abstractNum>
  <w:abstractNum w:abstractNumId="2">
    <w:lvl w:ilvl="0">
      <w:start w:val="1"/>
      <w:numFmt w:val="decimal"/>
      <w:lvlText w:val="%1"/>
      <w:lvlJc w:val="left"/>
      <w:pPr>
        <w:ind w:left="391" w:hanging="455"/>
      </w:pPr>
      <w:rPr>
        <w:sz w:val="24"/>
        <w:b/>
        <w:szCs w:val="24"/>
        <w:bCs/>
        <w:w w:val="102"/>
        <w:rFonts w:eastAsia="Arial" w:cs="Arial"/>
      </w:rPr>
    </w:lvl>
    <w:lvl w:ilvl="1">
      <w:start w:val="1"/>
      <w:numFmt w:val="decimal"/>
      <w:lvlText w:val="%1.%2"/>
      <w:lvlJc w:val="left"/>
      <w:pPr>
        <w:ind w:left="571" w:hanging="634"/>
      </w:pPr>
      <w:rPr>
        <w:sz w:val="24"/>
        <w:b/>
        <w:szCs w:val="24"/>
        <w:bCs/>
        <w:w w:val="102"/>
        <w:rFonts w:eastAsia="Arial" w:cs="Arial"/>
      </w:rPr>
    </w:lvl>
    <w:lvl w:ilvl="2">
      <w:start w:val="1"/>
      <w:numFmt w:val="decimal"/>
      <w:lvlText w:val="%1.%2.%3"/>
      <w:lvlJc w:val="left"/>
      <w:pPr>
        <w:ind w:left="750" w:hanging="814"/>
      </w:pPr>
      <w:rPr>
        <w:sz w:val="24"/>
        <w:b/>
        <w:szCs w:val="21"/>
        <w:bCs/>
        <w:w w:val="102"/>
        <w:rFonts w:eastAsia="Arial" w:cs="Arial"/>
      </w:rPr>
    </w:lvl>
    <w:lvl w:ilvl="3">
      <w:start w:val="1"/>
      <w:numFmt w:val="bullet"/>
      <w:lvlText w:val="•"/>
      <w:lvlJc w:val="left"/>
      <w:pPr>
        <w:ind w:left="522" w:hanging="201"/>
      </w:pPr>
      <w:rPr>
        <w:rFonts w:ascii="Arial" w:hAnsi="Arial" w:cs="Arial" w:hint="default"/>
        <w:sz w:val="24"/>
        <w:szCs w:val="24"/>
        <w:w w:val="99"/>
        <w:rFonts w:cs="Arial"/>
      </w:rPr>
    </w:lvl>
    <w:lvl w:ilvl="4">
      <w:start w:val="1"/>
      <w:numFmt w:val="bullet"/>
      <w:lvlText w:val=""/>
      <w:lvlJc w:val="left"/>
      <w:pPr>
        <w:ind w:left="2188" w:hanging="201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ind w:left="3617" w:hanging="201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ind w:left="5045" w:hanging="201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ind w:left="6474" w:hanging="201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ind w:left="7902" w:hanging="201"/>
      </w:pPr>
      <w:rPr>
        <w:rFonts w:ascii="Symbol" w:hAnsi="Symbol" w:cs="Symbol" w:hint="default"/>
        <w:rFonts w:cs="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2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751" w:hanging="635"/>
      <w:jc w:val="both"/>
      <w:outlineLvl w:val="0"/>
    </w:pPr>
    <w:rPr>
      <w:b/>
      <w:b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834d6"/>
    <w:rPr>
      <w:rFonts w:ascii="Arial" w:hAnsi="Arial" w:eastAsia="Arial" w:cs="Arial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834d6"/>
    <w:rPr>
      <w:rFonts w:ascii="Arial" w:hAnsi="Arial" w:eastAsia="Arial" w:cs="Arial"/>
    </w:rPr>
  </w:style>
  <w:style w:type="character" w:styleId="Pagenumber">
    <w:name w:val="page number"/>
    <w:basedOn w:val="DefaultParagraphFont"/>
    <w:uiPriority w:val="99"/>
    <w:semiHidden/>
    <w:unhideWhenUsed/>
    <w:qFormat/>
    <w:rsid w:val="009252f1"/>
    <w:rPr/>
  </w:style>
  <w:style w:type="character" w:styleId="InternetLink" w:customStyle="1">
    <w:name w:val="Internet Link"/>
    <w:basedOn w:val="DefaultParagraphFont"/>
    <w:uiPriority w:val="99"/>
    <w:semiHidden/>
    <w:unhideWhenUsed/>
    <w:rsid w:val="000a3605"/>
    <w:rPr>
      <w:color w:val="0000FF"/>
      <w:u w:val="single"/>
    </w:rPr>
  </w:style>
  <w:style w:type="character" w:styleId="ListLabel1" w:customStyle="1">
    <w:name w:val="ListLabel 1"/>
    <w:qFormat/>
    <w:rPr>
      <w:rFonts w:eastAsia="Arial" w:cs="Arial"/>
      <w:b/>
      <w:bCs/>
      <w:w w:val="102"/>
      <w:sz w:val="21"/>
      <w:szCs w:val="21"/>
    </w:rPr>
  </w:style>
  <w:style w:type="character" w:styleId="ListLabel2" w:customStyle="1">
    <w:name w:val="ListLabel 2"/>
    <w:qFormat/>
    <w:rPr>
      <w:rFonts w:eastAsia="Arial" w:cs="Arial"/>
      <w:b/>
      <w:bCs/>
      <w:w w:val="102"/>
      <w:sz w:val="21"/>
      <w:szCs w:val="21"/>
    </w:rPr>
  </w:style>
  <w:style w:type="character" w:styleId="ListLabel3" w:customStyle="1">
    <w:name w:val="ListLabel 3"/>
    <w:qFormat/>
    <w:rPr>
      <w:rFonts w:eastAsia="Arial" w:cs="Arial"/>
      <w:b/>
      <w:bCs/>
      <w:w w:val="102"/>
      <w:sz w:val="21"/>
      <w:szCs w:val="21"/>
    </w:rPr>
  </w:style>
  <w:style w:type="character" w:styleId="ListLabel4" w:customStyle="1">
    <w:name w:val="ListLabel 4"/>
    <w:qFormat/>
    <w:rPr>
      <w:rFonts w:eastAsia="Arial" w:cs="Arial"/>
      <w:b/>
      <w:bCs/>
      <w:w w:val="102"/>
      <w:sz w:val="21"/>
      <w:szCs w:val="21"/>
    </w:rPr>
  </w:style>
  <w:style w:type="character" w:styleId="ListLabel5" w:customStyle="1">
    <w:name w:val="ListLabel 5"/>
    <w:qFormat/>
    <w:rPr>
      <w:rFonts w:eastAsia="Arial" w:cs="Arial"/>
      <w:w w:val="99"/>
      <w:sz w:val="24"/>
      <w:szCs w:val="24"/>
    </w:rPr>
  </w:style>
  <w:style w:type="character" w:styleId="ListLabel6" w:customStyle="1">
    <w:name w:val="ListLabel 6"/>
    <w:qFormat/>
    <w:rPr>
      <w:rFonts w:eastAsia="Arial" w:cs="Arial"/>
      <w:b/>
      <w:bCs/>
      <w:w w:val="102"/>
      <w:sz w:val="21"/>
      <w:szCs w:val="21"/>
    </w:rPr>
  </w:style>
  <w:style w:type="character" w:styleId="ListLabel7" w:customStyle="1">
    <w:name w:val="ListLabel 7"/>
    <w:qFormat/>
    <w:rPr>
      <w:rFonts w:eastAsia="Arial" w:cs="Arial"/>
      <w:b/>
      <w:bCs/>
      <w:w w:val="102"/>
      <w:sz w:val="21"/>
      <w:szCs w:val="21"/>
    </w:rPr>
  </w:style>
  <w:style w:type="character" w:styleId="ListLabel8" w:customStyle="1">
    <w:name w:val="ListLabel 8"/>
    <w:qFormat/>
    <w:rPr>
      <w:rFonts w:eastAsia="Arial" w:cs="Arial"/>
      <w:b/>
      <w:bCs/>
      <w:w w:val="102"/>
      <w:sz w:val="21"/>
      <w:szCs w:val="21"/>
    </w:rPr>
  </w:style>
  <w:style w:type="character" w:styleId="ListLabel9" w:customStyle="1">
    <w:name w:val="ListLabel 9"/>
    <w:qFormat/>
    <w:rPr>
      <w:rFonts w:eastAsia="Arial" w:cs="Arial"/>
      <w:w w:val="99"/>
      <w:sz w:val="24"/>
      <w:szCs w:val="24"/>
    </w:rPr>
  </w:style>
  <w:style w:type="character" w:styleId="ListLabel10" w:customStyle="1">
    <w:name w:val="ListLabel 10"/>
    <w:qFormat/>
    <w:rPr>
      <w:rFonts w:eastAsia="Arial" w:cs="Arial"/>
      <w:b/>
      <w:bCs/>
      <w:w w:val="102"/>
      <w:sz w:val="21"/>
      <w:szCs w:val="21"/>
    </w:rPr>
  </w:style>
  <w:style w:type="character" w:styleId="ListLabel11" w:customStyle="1">
    <w:name w:val="ListLabel 11"/>
    <w:qFormat/>
    <w:rPr>
      <w:rFonts w:eastAsia="Arial" w:cs="Arial"/>
      <w:b/>
      <w:bCs/>
      <w:w w:val="102"/>
      <w:sz w:val="21"/>
      <w:szCs w:val="21"/>
    </w:rPr>
  </w:style>
  <w:style w:type="character" w:styleId="ListLabel12" w:customStyle="1">
    <w:name w:val="ListLabel 12"/>
    <w:qFormat/>
    <w:rPr>
      <w:rFonts w:eastAsia="Arial" w:cs="Arial"/>
      <w:b/>
      <w:bCs/>
      <w:w w:val="102"/>
      <w:sz w:val="24"/>
      <w:szCs w:val="24"/>
    </w:rPr>
  </w:style>
  <w:style w:type="character" w:styleId="ListLabel13" w:customStyle="1">
    <w:name w:val="ListLabel 13"/>
    <w:qFormat/>
    <w:rPr>
      <w:rFonts w:eastAsia="Arial" w:cs="Arial"/>
      <w:b/>
      <w:bCs/>
      <w:w w:val="102"/>
      <w:sz w:val="24"/>
      <w:szCs w:val="24"/>
    </w:rPr>
  </w:style>
  <w:style w:type="character" w:styleId="ListLabel14" w:customStyle="1">
    <w:name w:val="ListLabel 14"/>
    <w:qFormat/>
    <w:rPr>
      <w:rFonts w:eastAsia="Arial" w:cs="Arial"/>
      <w:b/>
      <w:bCs/>
      <w:w w:val="102"/>
      <w:sz w:val="24"/>
      <w:szCs w:val="21"/>
    </w:rPr>
  </w:style>
  <w:style w:type="character" w:styleId="ListLabel15" w:customStyle="1">
    <w:name w:val="ListLabel 15"/>
    <w:qFormat/>
    <w:rPr>
      <w:rFonts w:eastAsia="Arial" w:cs="Arial"/>
      <w:w w:val="99"/>
      <w:sz w:val="24"/>
      <w:szCs w:val="24"/>
    </w:rPr>
  </w:style>
  <w:style w:type="character" w:styleId="ListLabel16" w:customStyle="1">
    <w:name w:val="ListLabel 16"/>
    <w:qFormat/>
    <w:rPr>
      <w:rFonts w:eastAsia="Arial" w:cs="Arial"/>
      <w:b/>
      <w:bCs/>
      <w:w w:val="102"/>
      <w:sz w:val="21"/>
      <w:szCs w:val="21"/>
    </w:rPr>
  </w:style>
  <w:style w:type="character" w:styleId="ListLabel17" w:customStyle="1">
    <w:name w:val="ListLabel 17"/>
    <w:qFormat/>
    <w:rPr>
      <w:rFonts w:eastAsia="Arial" w:cs="Arial"/>
      <w:b/>
      <w:bCs/>
      <w:w w:val="102"/>
      <w:sz w:val="21"/>
      <w:szCs w:val="21"/>
    </w:rPr>
  </w:style>
  <w:style w:type="character" w:styleId="ListLabel18" w:customStyle="1">
    <w:name w:val="ListLabel 18"/>
    <w:qFormat/>
    <w:rPr>
      <w:rFonts w:eastAsia="Arial" w:cs="Arial"/>
      <w:b/>
      <w:bCs/>
      <w:w w:val="102"/>
      <w:sz w:val="21"/>
      <w:szCs w:val="21"/>
    </w:rPr>
  </w:style>
  <w:style w:type="character" w:styleId="ListLabel19" w:customStyle="1">
    <w:name w:val="ListLabel 19"/>
    <w:qFormat/>
    <w:rPr>
      <w:rFonts w:eastAsia="Arial" w:cs="Arial"/>
      <w:w w:val="99"/>
      <w:sz w:val="24"/>
      <w:szCs w:val="24"/>
    </w:rPr>
  </w:style>
  <w:style w:type="character" w:styleId="ListLabel20" w:customStyle="1">
    <w:name w:val="ListLabel 20"/>
    <w:qFormat/>
    <w:rPr>
      <w:rFonts w:eastAsia="Arial" w:cs="Arial"/>
      <w:b/>
      <w:bCs/>
      <w:w w:val="102"/>
      <w:sz w:val="21"/>
      <w:szCs w:val="21"/>
    </w:rPr>
  </w:style>
  <w:style w:type="character" w:styleId="ListLabel21" w:customStyle="1">
    <w:name w:val="ListLabel 21"/>
    <w:qFormat/>
    <w:rPr>
      <w:rFonts w:eastAsia="Arial" w:cs="Arial"/>
      <w:b/>
      <w:bCs/>
      <w:w w:val="102"/>
      <w:sz w:val="21"/>
      <w:szCs w:val="21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cs="Courier New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eastAsia="Arial" w:cs="Arial"/>
      <w:b/>
      <w:bCs/>
      <w:w w:val="102"/>
      <w:sz w:val="21"/>
      <w:szCs w:val="21"/>
    </w:rPr>
  </w:style>
  <w:style w:type="character" w:styleId="ListLabel29" w:customStyle="1">
    <w:name w:val="ListLabel 29"/>
    <w:qFormat/>
    <w:rPr>
      <w:rFonts w:cs="Symbol"/>
    </w:rPr>
  </w:style>
  <w:style w:type="character" w:styleId="ListLabel30" w:customStyle="1">
    <w:name w:val="ListLabel 30"/>
    <w:qFormat/>
    <w:rPr>
      <w:rFonts w:cs="Symbol"/>
    </w:rPr>
  </w:style>
  <w:style w:type="character" w:styleId="ListLabel31" w:customStyle="1">
    <w:name w:val="ListLabel 31"/>
    <w:qFormat/>
    <w:rPr>
      <w:rFonts w:cs="Symbol"/>
    </w:rPr>
  </w:style>
  <w:style w:type="character" w:styleId="ListLabel32" w:customStyle="1">
    <w:name w:val="ListLabel 32"/>
    <w:qFormat/>
    <w:rPr>
      <w:rFonts w:cs="Symbol"/>
    </w:rPr>
  </w:style>
  <w:style w:type="character" w:styleId="ListLabel33" w:customStyle="1">
    <w:name w:val="ListLabel 33"/>
    <w:qFormat/>
    <w:rPr>
      <w:rFonts w:cs="Symbol"/>
    </w:rPr>
  </w:style>
  <w:style w:type="character" w:styleId="ListLabel34" w:customStyle="1">
    <w:name w:val="ListLabel 34"/>
    <w:qFormat/>
    <w:rPr>
      <w:rFonts w:cs="Symbol"/>
    </w:rPr>
  </w:style>
  <w:style w:type="character" w:styleId="ListLabel35" w:customStyle="1">
    <w:name w:val="ListLabel 35"/>
    <w:qFormat/>
    <w:rPr>
      <w:rFonts w:cs="Symbol"/>
    </w:rPr>
  </w:style>
  <w:style w:type="character" w:styleId="ListLabel36" w:customStyle="1">
    <w:name w:val="ListLabel 36"/>
    <w:qFormat/>
    <w:rPr>
      <w:rFonts w:eastAsia="Arial" w:cs="Arial"/>
      <w:b/>
      <w:bCs/>
      <w:w w:val="102"/>
      <w:sz w:val="24"/>
      <w:szCs w:val="24"/>
    </w:rPr>
  </w:style>
  <w:style w:type="character" w:styleId="ListLabel37" w:customStyle="1">
    <w:name w:val="ListLabel 37"/>
    <w:qFormat/>
    <w:rPr>
      <w:rFonts w:eastAsia="Arial" w:cs="Arial"/>
      <w:b/>
      <w:bCs/>
      <w:w w:val="102"/>
      <w:sz w:val="24"/>
      <w:szCs w:val="24"/>
    </w:rPr>
  </w:style>
  <w:style w:type="character" w:styleId="ListLabel38" w:customStyle="1">
    <w:name w:val="ListLabel 38"/>
    <w:qFormat/>
    <w:rPr>
      <w:rFonts w:eastAsia="Arial" w:cs="Arial"/>
      <w:b/>
      <w:bCs/>
      <w:w w:val="102"/>
      <w:sz w:val="24"/>
      <w:szCs w:val="21"/>
    </w:rPr>
  </w:style>
  <w:style w:type="character" w:styleId="ListLabel39" w:customStyle="1">
    <w:name w:val="ListLabel 39"/>
    <w:qFormat/>
    <w:rPr>
      <w:rFonts w:cs="Arial"/>
      <w:w w:val="99"/>
      <w:sz w:val="24"/>
      <w:szCs w:val="24"/>
    </w:rPr>
  </w:style>
  <w:style w:type="character" w:styleId="ListLabel40" w:customStyle="1">
    <w:name w:val="ListLabel 40"/>
    <w:qFormat/>
    <w:rPr>
      <w:rFonts w:cs="Symbol"/>
    </w:rPr>
  </w:style>
  <w:style w:type="character" w:styleId="ListLabel41" w:customStyle="1">
    <w:name w:val="ListLabel 41"/>
    <w:qFormat/>
    <w:rPr>
      <w:rFonts w:cs="Symbol"/>
    </w:rPr>
  </w:style>
  <w:style w:type="character" w:styleId="ListLabel42" w:customStyle="1">
    <w:name w:val="ListLabel 42"/>
    <w:qFormat/>
    <w:rPr>
      <w:rFonts w:cs="Symbol"/>
    </w:rPr>
  </w:style>
  <w:style w:type="character" w:styleId="ListLabel43" w:customStyle="1">
    <w:name w:val="ListLabel 43"/>
    <w:qFormat/>
    <w:rPr>
      <w:rFonts w:cs="Symbol"/>
    </w:rPr>
  </w:style>
  <w:style w:type="character" w:styleId="ListLabel44" w:customStyle="1">
    <w:name w:val="ListLabel 44"/>
    <w:qFormat/>
    <w:rPr>
      <w:rFonts w:cs="Symbol"/>
    </w:rPr>
  </w:style>
  <w:style w:type="character" w:styleId="ListLabel45" w:customStyle="1">
    <w:name w:val="ListLabel 45"/>
    <w:qFormat/>
    <w:rPr>
      <w:rFonts w:cs="Courier New"/>
    </w:rPr>
  </w:style>
  <w:style w:type="character" w:styleId="ListLabel46" w:customStyle="1">
    <w:name w:val="ListLabel 46"/>
    <w:qFormat/>
    <w:rPr>
      <w:rFonts w:cs="Wingdings"/>
    </w:rPr>
  </w:style>
  <w:style w:type="character" w:styleId="ListLabel47" w:customStyle="1">
    <w:name w:val="ListLabel 47"/>
    <w:qFormat/>
    <w:rPr>
      <w:rFonts w:cs="Symbol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Wingdings"/>
    </w:rPr>
  </w:style>
  <w:style w:type="character" w:styleId="ListLabel50" w:customStyle="1">
    <w:name w:val="ListLabel 50"/>
    <w:qFormat/>
    <w:rPr>
      <w:rFonts w:cs="Symbol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Wingdings"/>
    </w:rPr>
  </w:style>
  <w:style w:type="character" w:styleId="ListLabel53">
    <w:name w:val="ListLabel 53"/>
    <w:qFormat/>
    <w:rPr>
      <w:rFonts w:eastAsia="Arial" w:cs="Arial"/>
      <w:b/>
      <w:bCs/>
      <w:w w:val="102"/>
      <w:sz w:val="21"/>
      <w:szCs w:val="21"/>
    </w:rPr>
  </w:style>
  <w:style w:type="character" w:styleId="ListLabel54">
    <w:name w:val="ListLabel 54"/>
    <w:qFormat/>
    <w:rPr>
      <w:rFonts w:cs="Symbol"/>
    </w:rPr>
  </w:style>
  <w:style w:type="character" w:styleId="ListLabel55">
    <w:name w:val="ListLabel 55"/>
    <w:qFormat/>
    <w:rPr>
      <w:rFonts w:cs="Symbol"/>
    </w:rPr>
  </w:style>
  <w:style w:type="character" w:styleId="ListLabel56">
    <w:name w:val="ListLabel 56"/>
    <w:qFormat/>
    <w:rPr>
      <w:rFonts w:cs="Symbol"/>
    </w:rPr>
  </w:style>
  <w:style w:type="character" w:styleId="ListLabel57">
    <w:name w:val="ListLabel 57"/>
    <w:qFormat/>
    <w:rPr>
      <w:rFonts w:cs="Symbol"/>
    </w:rPr>
  </w:style>
  <w:style w:type="character" w:styleId="ListLabel58">
    <w:name w:val="ListLabel 58"/>
    <w:qFormat/>
    <w:rPr>
      <w:rFonts w:cs="Symbol"/>
    </w:rPr>
  </w:style>
  <w:style w:type="character" w:styleId="ListLabel59">
    <w:name w:val="ListLabel 59"/>
    <w:qFormat/>
    <w:rPr>
      <w:rFonts w:cs="Symbol"/>
    </w:rPr>
  </w:style>
  <w:style w:type="character" w:styleId="ListLabel60">
    <w:name w:val="ListLabel 60"/>
    <w:qFormat/>
    <w:rPr>
      <w:rFonts w:cs="Symbol"/>
    </w:rPr>
  </w:style>
  <w:style w:type="character" w:styleId="ListLabel61">
    <w:name w:val="ListLabel 61"/>
    <w:qFormat/>
    <w:rPr>
      <w:rFonts w:eastAsia="Arial" w:cs="Arial"/>
      <w:b/>
      <w:bCs/>
      <w:w w:val="102"/>
      <w:sz w:val="24"/>
      <w:szCs w:val="24"/>
    </w:rPr>
  </w:style>
  <w:style w:type="character" w:styleId="ListLabel62">
    <w:name w:val="ListLabel 62"/>
    <w:qFormat/>
    <w:rPr>
      <w:rFonts w:eastAsia="Arial" w:cs="Arial"/>
      <w:b/>
      <w:bCs/>
      <w:w w:val="102"/>
      <w:sz w:val="24"/>
      <w:szCs w:val="24"/>
    </w:rPr>
  </w:style>
  <w:style w:type="character" w:styleId="ListLabel63">
    <w:name w:val="ListLabel 63"/>
    <w:qFormat/>
    <w:rPr>
      <w:rFonts w:eastAsia="Arial" w:cs="Arial"/>
      <w:b/>
      <w:bCs/>
      <w:w w:val="102"/>
      <w:sz w:val="24"/>
      <w:szCs w:val="21"/>
    </w:rPr>
  </w:style>
  <w:style w:type="character" w:styleId="ListLabel64">
    <w:name w:val="ListLabel 64"/>
    <w:qFormat/>
    <w:rPr>
      <w:rFonts w:cs="Arial"/>
      <w:w w:val="99"/>
      <w:sz w:val="24"/>
      <w:szCs w:val="24"/>
    </w:rPr>
  </w:style>
  <w:style w:type="character" w:styleId="ListLabel65">
    <w:name w:val="ListLabel 65"/>
    <w:qFormat/>
    <w:rPr>
      <w:rFonts w:cs="Symbol"/>
    </w:rPr>
  </w:style>
  <w:style w:type="character" w:styleId="ListLabel66">
    <w:name w:val="ListLabel 66"/>
    <w:qFormat/>
    <w:rPr>
      <w:rFonts w:cs="Symbol"/>
    </w:rPr>
  </w:style>
  <w:style w:type="character" w:styleId="ListLabel67">
    <w:name w:val="ListLabel 67"/>
    <w:qFormat/>
    <w:rPr>
      <w:rFonts w:cs="Symbol"/>
    </w:rPr>
  </w:style>
  <w:style w:type="character" w:styleId="ListLabel68">
    <w:name w:val="ListLabel 68"/>
    <w:qFormat/>
    <w:rPr>
      <w:rFonts w:cs="Symbol"/>
    </w:rPr>
  </w:style>
  <w:style w:type="character" w:styleId="ListLabel69">
    <w:name w:val="ListLabel 69"/>
    <w:qFormat/>
    <w:rPr>
      <w:rFonts w:cs="Symbol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47" w:after="0"/>
      <w:ind w:left="117" w:right="1415" w:hanging="0"/>
      <w:jc w:val="both"/>
    </w:pPr>
    <w:rPr>
      <w:sz w:val="21"/>
      <w:szCs w:val="21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51" w:hanging="635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834d6"/>
    <w:pPr>
      <w:tabs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6834d6"/>
    <w:pPr>
      <w:tabs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rsid w:val="00040495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063e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5">
    <w:name w:val="Plain Table 5"/>
    <w:basedOn w:val="TableNormal"/>
    <w:uiPriority w:val="45"/>
    <w:rsid w:val="00d063e2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Application>LibreOffice/6.0.7.3$Linux_X86_64 LibreOffice_project/00m0$Build-3</Application>
  <Pages>2</Pages>
  <Words>455</Words>
  <Characters>2233</Characters>
  <CharactersWithSpaces>2648</CharactersWithSpaces>
  <Paragraphs>20</Paragraphs>
  <Company>University of Texas at Dallas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2022-05-30T11:14:00Z</dcterms:created>
  <dc:creator>Stangel, Kristanya McKimmey</dc:creator>
  <dc:description/>
  <dc:language>en-US</dc:language>
  <cp:lastModifiedBy/>
  <cp:lastPrinted>2022-11-12T16:47:00Z</cp:lastPrinted>
  <dcterms:modified xsi:type="dcterms:W3CDTF">2023-05-11T14:41:41Z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University of Texas at Dallas</vt:lpwstr>
  </property>
  <property fmtid="{D5CDD505-2E9C-101B-9397-08002B2CF9AE}" pid="4" name="Created">
    <vt:filetime>2020-05-14T00:00:00Z</vt:filetime>
  </property>
  <property fmtid="{D5CDD505-2E9C-101B-9397-08002B2CF9AE}" pid="5" name="Creator">
    <vt:lpwstr>LaTeX with hyperref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2020-05-15T00:00:00Z</vt:filetime>
  </property>
  <property fmtid="{D5CDD505-2E9C-101B-9397-08002B2CF9AE}" pid="9" name="LinksUpToDate">
    <vt:bool>0</vt:bool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