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AB954" w14:textId="77777777" w:rsidR="00D5662A" w:rsidRDefault="00D5662A" w:rsidP="0046073E">
      <w:pPr>
        <w:spacing w:line="480" w:lineRule="auto"/>
      </w:pPr>
    </w:p>
    <w:p w14:paraId="15E65183" w14:textId="77777777" w:rsidR="0046073E" w:rsidRDefault="0046073E" w:rsidP="0046073E">
      <w:pPr>
        <w:spacing w:line="480" w:lineRule="auto"/>
      </w:pPr>
    </w:p>
    <w:p w14:paraId="3FD1D386" w14:textId="77777777" w:rsidR="0046073E" w:rsidRDefault="0046073E" w:rsidP="0046073E">
      <w:pPr>
        <w:spacing w:line="480" w:lineRule="auto"/>
      </w:pPr>
    </w:p>
    <w:p w14:paraId="6FAC99B6" w14:textId="77777777" w:rsidR="0046073E" w:rsidRDefault="0046073E" w:rsidP="0046073E">
      <w:pPr>
        <w:spacing w:line="480" w:lineRule="auto"/>
      </w:pPr>
    </w:p>
    <w:p w14:paraId="4B91D9BF" w14:textId="77777777" w:rsidR="0046073E" w:rsidRDefault="0046073E" w:rsidP="0046073E">
      <w:pPr>
        <w:spacing w:line="480" w:lineRule="auto"/>
      </w:pPr>
    </w:p>
    <w:p w14:paraId="2DBCC736" w14:textId="77777777" w:rsidR="0046073E" w:rsidRDefault="0046073E" w:rsidP="0046073E">
      <w:pPr>
        <w:spacing w:line="480" w:lineRule="auto"/>
      </w:pPr>
    </w:p>
    <w:p w14:paraId="404D504D" w14:textId="77777777" w:rsidR="0046073E" w:rsidRDefault="0046073E" w:rsidP="0046073E">
      <w:pPr>
        <w:spacing w:line="480" w:lineRule="auto"/>
      </w:pPr>
    </w:p>
    <w:p w14:paraId="14DF877D" w14:textId="77777777" w:rsidR="00D5662A" w:rsidRPr="00D5662A" w:rsidRDefault="00B71220" w:rsidP="0046073E">
      <w:pPr>
        <w:jc w:val="center"/>
      </w:pPr>
      <w:r w:rsidRPr="00D5662A">
        <w:t xml:space="preserve">Cake-Eating and Cool-Headed Logicians: </w:t>
      </w:r>
    </w:p>
    <w:p w14:paraId="337AA207" w14:textId="77777777" w:rsidR="0046073E" w:rsidRDefault="0046073E" w:rsidP="0046073E">
      <w:pPr>
        <w:jc w:val="center"/>
      </w:pPr>
    </w:p>
    <w:p w14:paraId="2C20B9F5" w14:textId="5613C3E3" w:rsidR="00D5662A" w:rsidRDefault="005754E0" w:rsidP="0046073E">
      <w:pPr>
        <w:jc w:val="center"/>
      </w:pPr>
      <w:r>
        <w:t>The Capture of</w:t>
      </w:r>
      <w:r w:rsidR="00D5662A" w:rsidRPr="00D5662A">
        <w:t xml:space="preserve"> the</w:t>
      </w:r>
      <w:r w:rsidR="00B71220" w:rsidRPr="00D5662A">
        <w:t xml:space="preserve"> Unabomber</w:t>
      </w:r>
      <w:r>
        <w:t xml:space="preserve"> through Forensic Linguistics</w:t>
      </w:r>
    </w:p>
    <w:p w14:paraId="66C104E9" w14:textId="77777777" w:rsidR="0046073E" w:rsidRDefault="0046073E" w:rsidP="0046073E">
      <w:pPr>
        <w:jc w:val="center"/>
      </w:pPr>
    </w:p>
    <w:p w14:paraId="4A1CBA4B" w14:textId="77777777" w:rsidR="0046073E" w:rsidRDefault="0046073E" w:rsidP="0046073E">
      <w:pPr>
        <w:jc w:val="center"/>
      </w:pPr>
    </w:p>
    <w:p w14:paraId="4B23B3CD" w14:textId="77777777" w:rsidR="0046073E" w:rsidRDefault="0046073E" w:rsidP="0046073E">
      <w:pPr>
        <w:jc w:val="center"/>
      </w:pPr>
    </w:p>
    <w:p w14:paraId="33B5902C" w14:textId="77777777" w:rsidR="0046073E" w:rsidRDefault="0046073E" w:rsidP="0046073E">
      <w:pPr>
        <w:jc w:val="center"/>
      </w:pPr>
    </w:p>
    <w:p w14:paraId="5768B383" w14:textId="77777777" w:rsidR="0046073E" w:rsidRDefault="0046073E" w:rsidP="0046073E">
      <w:pPr>
        <w:jc w:val="center"/>
      </w:pPr>
    </w:p>
    <w:p w14:paraId="66BB8606" w14:textId="77777777" w:rsidR="0046073E" w:rsidRDefault="0046073E" w:rsidP="0046073E">
      <w:pPr>
        <w:jc w:val="center"/>
      </w:pPr>
    </w:p>
    <w:p w14:paraId="0475FB6C" w14:textId="3E331E43" w:rsidR="0046073E" w:rsidRDefault="0046073E" w:rsidP="0046073E">
      <w:pPr>
        <w:jc w:val="center"/>
      </w:pPr>
      <w:r>
        <w:t>Hannah Hirsh</w:t>
      </w:r>
    </w:p>
    <w:p w14:paraId="3D3B00DA" w14:textId="77777777" w:rsidR="0046073E" w:rsidRDefault="0046073E" w:rsidP="0046073E">
      <w:pPr>
        <w:spacing w:line="480" w:lineRule="auto"/>
        <w:jc w:val="center"/>
      </w:pPr>
    </w:p>
    <w:p w14:paraId="1B9C81E4" w14:textId="77777777" w:rsidR="0046073E" w:rsidRDefault="0046073E" w:rsidP="0046073E">
      <w:pPr>
        <w:spacing w:line="480" w:lineRule="auto"/>
        <w:jc w:val="center"/>
      </w:pPr>
    </w:p>
    <w:p w14:paraId="5E2FC15F" w14:textId="77777777" w:rsidR="0046073E" w:rsidRDefault="0046073E" w:rsidP="0046073E">
      <w:pPr>
        <w:spacing w:line="480" w:lineRule="auto"/>
        <w:jc w:val="center"/>
      </w:pPr>
    </w:p>
    <w:p w14:paraId="691A4688" w14:textId="77777777" w:rsidR="0046073E" w:rsidRDefault="0046073E" w:rsidP="0046073E">
      <w:pPr>
        <w:spacing w:line="480" w:lineRule="auto"/>
        <w:jc w:val="center"/>
      </w:pPr>
    </w:p>
    <w:p w14:paraId="4311816D" w14:textId="77777777" w:rsidR="0046073E" w:rsidRDefault="0046073E" w:rsidP="0046073E">
      <w:pPr>
        <w:spacing w:line="480" w:lineRule="auto"/>
        <w:jc w:val="center"/>
      </w:pPr>
    </w:p>
    <w:p w14:paraId="119F05FF" w14:textId="77777777" w:rsidR="0046073E" w:rsidRDefault="0046073E" w:rsidP="0046073E">
      <w:pPr>
        <w:spacing w:line="480" w:lineRule="auto"/>
        <w:jc w:val="center"/>
      </w:pPr>
    </w:p>
    <w:p w14:paraId="51F0041E" w14:textId="77777777" w:rsidR="0046073E" w:rsidRDefault="0046073E" w:rsidP="0046073E">
      <w:pPr>
        <w:spacing w:line="480" w:lineRule="auto"/>
      </w:pPr>
    </w:p>
    <w:p w14:paraId="1094368B" w14:textId="77777777" w:rsidR="00D909F2" w:rsidRDefault="00D909F2" w:rsidP="0046073E">
      <w:pPr>
        <w:spacing w:line="480" w:lineRule="auto"/>
      </w:pPr>
    </w:p>
    <w:p w14:paraId="1CB5C17C" w14:textId="77777777" w:rsidR="0046073E" w:rsidRDefault="0046073E" w:rsidP="00D909F2">
      <w:pPr>
        <w:jc w:val="center"/>
      </w:pPr>
    </w:p>
    <w:p w14:paraId="54AD0859" w14:textId="7BADB1E5" w:rsidR="0046073E" w:rsidRDefault="0046073E" w:rsidP="00D909F2">
      <w:pPr>
        <w:jc w:val="center"/>
      </w:pPr>
      <w:r>
        <w:t>CLA 208</w:t>
      </w:r>
    </w:p>
    <w:p w14:paraId="4C98A605" w14:textId="77777777" w:rsidR="00D909F2" w:rsidRDefault="00D909F2" w:rsidP="00D909F2">
      <w:pPr>
        <w:jc w:val="center"/>
      </w:pPr>
    </w:p>
    <w:p w14:paraId="0C823EBE" w14:textId="694AE465" w:rsidR="0046073E" w:rsidRDefault="0046073E" w:rsidP="00D909F2">
      <w:pPr>
        <w:jc w:val="center"/>
      </w:pPr>
      <w:r>
        <w:t>Joshua T. Katz</w:t>
      </w:r>
    </w:p>
    <w:p w14:paraId="1725FE70" w14:textId="77777777" w:rsidR="00D909F2" w:rsidRDefault="00D909F2" w:rsidP="00D909F2">
      <w:pPr>
        <w:jc w:val="center"/>
      </w:pPr>
    </w:p>
    <w:p w14:paraId="33ACBA5B" w14:textId="20FD3F86" w:rsidR="0046073E" w:rsidRDefault="0046073E" w:rsidP="00D909F2">
      <w:pPr>
        <w:jc w:val="center"/>
      </w:pPr>
      <w:r>
        <w:t>13 May, 2014</w:t>
      </w:r>
    </w:p>
    <w:p w14:paraId="00052D9A" w14:textId="77777777" w:rsidR="00134329" w:rsidRDefault="00134329" w:rsidP="00D909F2">
      <w:pPr>
        <w:jc w:val="center"/>
      </w:pPr>
    </w:p>
    <w:p w14:paraId="61B30B37" w14:textId="77777777" w:rsidR="00134329" w:rsidRDefault="00134329" w:rsidP="00D909F2">
      <w:pPr>
        <w:jc w:val="center"/>
      </w:pPr>
    </w:p>
    <w:p w14:paraId="2CC22582" w14:textId="77777777" w:rsidR="00134329" w:rsidRDefault="00134329" w:rsidP="00D909F2">
      <w:pPr>
        <w:jc w:val="center"/>
      </w:pPr>
    </w:p>
    <w:p w14:paraId="2F25BC7A" w14:textId="77777777" w:rsidR="00134329" w:rsidRDefault="00134329" w:rsidP="00D909F2">
      <w:pPr>
        <w:jc w:val="center"/>
      </w:pPr>
    </w:p>
    <w:p w14:paraId="55BC5C66" w14:textId="77777777" w:rsidR="00134329" w:rsidRDefault="00134329" w:rsidP="00D909F2">
      <w:pPr>
        <w:jc w:val="center"/>
      </w:pPr>
    </w:p>
    <w:p w14:paraId="3631AB38" w14:textId="77777777" w:rsidR="00134329" w:rsidRDefault="00134329" w:rsidP="00D909F2">
      <w:pPr>
        <w:jc w:val="center"/>
      </w:pPr>
    </w:p>
    <w:p w14:paraId="2A8247FB" w14:textId="77777777" w:rsidR="00134329" w:rsidRDefault="00134329" w:rsidP="00D909F2">
      <w:pPr>
        <w:jc w:val="center"/>
      </w:pPr>
    </w:p>
    <w:p w14:paraId="63102A58" w14:textId="77777777" w:rsidR="00134329" w:rsidRDefault="00134329" w:rsidP="00D909F2">
      <w:pPr>
        <w:jc w:val="center"/>
      </w:pPr>
    </w:p>
    <w:p w14:paraId="7E355AB7" w14:textId="77777777" w:rsidR="00134329" w:rsidRDefault="00134329" w:rsidP="00D909F2">
      <w:pPr>
        <w:jc w:val="center"/>
      </w:pPr>
    </w:p>
    <w:p w14:paraId="5FE61C22" w14:textId="77777777" w:rsidR="00134329" w:rsidRDefault="00134329" w:rsidP="00D909F2">
      <w:pPr>
        <w:jc w:val="center"/>
      </w:pPr>
    </w:p>
    <w:p w14:paraId="19D235B9" w14:textId="77777777" w:rsidR="00134329" w:rsidRDefault="00134329" w:rsidP="00D909F2">
      <w:pPr>
        <w:jc w:val="center"/>
      </w:pPr>
    </w:p>
    <w:p w14:paraId="3063A6DE" w14:textId="77777777" w:rsidR="00134329" w:rsidRDefault="00134329" w:rsidP="00D909F2">
      <w:pPr>
        <w:jc w:val="center"/>
      </w:pPr>
    </w:p>
    <w:p w14:paraId="7A055003" w14:textId="77777777" w:rsidR="00134329" w:rsidRDefault="00134329" w:rsidP="00D909F2">
      <w:pPr>
        <w:jc w:val="center"/>
      </w:pPr>
    </w:p>
    <w:p w14:paraId="38DB7A3A" w14:textId="77777777" w:rsidR="00134329" w:rsidRDefault="00134329" w:rsidP="00D909F2">
      <w:pPr>
        <w:jc w:val="center"/>
      </w:pPr>
    </w:p>
    <w:p w14:paraId="56ECD5B7" w14:textId="77777777" w:rsidR="00134329" w:rsidRDefault="00134329" w:rsidP="00D909F2">
      <w:pPr>
        <w:jc w:val="center"/>
      </w:pPr>
    </w:p>
    <w:p w14:paraId="56CFB4BB" w14:textId="77777777" w:rsidR="00134329" w:rsidRDefault="00134329" w:rsidP="00D909F2">
      <w:pPr>
        <w:jc w:val="center"/>
      </w:pPr>
    </w:p>
    <w:p w14:paraId="79554F4F" w14:textId="77777777" w:rsidR="00134329" w:rsidRDefault="00134329" w:rsidP="00D909F2">
      <w:pPr>
        <w:jc w:val="center"/>
      </w:pPr>
    </w:p>
    <w:p w14:paraId="58D080AF" w14:textId="77777777" w:rsidR="00134329" w:rsidRDefault="00134329" w:rsidP="00D909F2">
      <w:pPr>
        <w:jc w:val="center"/>
      </w:pPr>
    </w:p>
    <w:p w14:paraId="51E5A47F" w14:textId="77777777" w:rsidR="00134329" w:rsidRDefault="00134329" w:rsidP="00D909F2">
      <w:pPr>
        <w:jc w:val="center"/>
      </w:pPr>
    </w:p>
    <w:p w14:paraId="71E47DB1" w14:textId="77777777" w:rsidR="00134329" w:rsidRDefault="00134329" w:rsidP="00D909F2">
      <w:pPr>
        <w:jc w:val="center"/>
      </w:pPr>
    </w:p>
    <w:p w14:paraId="65B6DC2B" w14:textId="77777777" w:rsidR="00134329" w:rsidRDefault="00134329" w:rsidP="00D909F2">
      <w:pPr>
        <w:jc w:val="center"/>
      </w:pPr>
    </w:p>
    <w:p w14:paraId="33295AFA" w14:textId="77777777" w:rsidR="00134329" w:rsidRDefault="00134329" w:rsidP="00D909F2">
      <w:pPr>
        <w:jc w:val="center"/>
      </w:pPr>
    </w:p>
    <w:p w14:paraId="5493FE3D" w14:textId="77777777" w:rsidR="00134329" w:rsidRDefault="00134329" w:rsidP="00D909F2">
      <w:pPr>
        <w:jc w:val="center"/>
      </w:pPr>
    </w:p>
    <w:p w14:paraId="4C8D46B2" w14:textId="77777777" w:rsidR="00134329" w:rsidRDefault="00134329" w:rsidP="00D909F2">
      <w:pPr>
        <w:jc w:val="center"/>
      </w:pPr>
    </w:p>
    <w:p w14:paraId="62DE0104" w14:textId="77777777" w:rsidR="00134329" w:rsidRDefault="00134329" w:rsidP="00D909F2">
      <w:pPr>
        <w:jc w:val="center"/>
      </w:pPr>
    </w:p>
    <w:p w14:paraId="79D9D4EF" w14:textId="77777777" w:rsidR="00134329" w:rsidRDefault="00134329" w:rsidP="00D909F2">
      <w:pPr>
        <w:jc w:val="center"/>
      </w:pPr>
    </w:p>
    <w:p w14:paraId="34CAD6E7" w14:textId="77777777" w:rsidR="00134329" w:rsidRDefault="00134329" w:rsidP="00D909F2">
      <w:pPr>
        <w:jc w:val="center"/>
      </w:pPr>
    </w:p>
    <w:p w14:paraId="64A31BFB" w14:textId="77777777" w:rsidR="00134329" w:rsidRDefault="00134329" w:rsidP="00D909F2">
      <w:pPr>
        <w:jc w:val="center"/>
      </w:pPr>
    </w:p>
    <w:p w14:paraId="607551A3" w14:textId="77777777" w:rsidR="00134329" w:rsidRDefault="00134329" w:rsidP="00D909F2">
      <w:pPr>
        <w:jc w:val="center"/>
      </w:pPr>
    </w:p>
    <w:p w14:paraId="0FC9B1CF" w14:textId="77777777" w:rsidR="00134329" w:rsidRDefault="00134329" w:rsidP="00D909F2">
      <w:pPr>
        <w:jc w:val="center"/>
      </w:pPr>
    </w:p>
    <w:p w14:paraId="47B712A3" w14:textId="77777777" w:rsidR="00134329" w:rsidRDefault="00134329" w:rsidP="00D909F2">
      <w:pPr>
        <w:jc w:val="center"/>
      </w:pPr>
    </w:p>
    <w:p w14:paraId="5552D925" w14:textId="77777777" w:rsidR="00134329" w:rsidRDefault="00134329" w:rsidP="00D909F2">
      <w:pPr>
        <w:jc w:val="center"/>
      </w:pPr>
    </w:p>
    <w:p w14:paraId="666149CA" w14:textId="77777777" w:rsidR="00134329" w:rsidRDefault="00134329" w:rsidP="00D909F2">
      <w:pPr>
        <w:jc w:val="center"/>
      </w:pPr>
    </w:p>
    <w:p w14:paraId="3D58B30F" w14:textId="77777777" w:rsidR="00134329" w:rsidRDefault="00134329" w:rsidP="00D909F2">
      <w:pPr>
        <w:jc w:val="center"/>
      </w:pPr>
    </w:p>
    <w:p w14:paraId="0EDA16C7" w14:textId="77777777" w:rsidR="00134329" w:rsidRDefault="00134329" w:rsidP="00D909F2">
      <w:pPr>
        <w:jc w:val="center"/>
      </w:pPr>
    </w:p>
    <w:p w14:paraId="5FA878FA" w14:textId="77777777" w:rsidR="00134329" w:rsidRDefault="00134329" w:rsidP="00D909F2">
      <w:pPr>
        <w:jc w:val="center"/>
      </w:pPr>
    </w:p>
    <w:p w14:paraId="5D3600DC" w14:textId="77777777" w:rsidR="00134329" w:rsidRDefault="00134329" w:rsidP="00D909F2">
      <w:pPr>
        <w:jc w:val="center"/>
      </w:pPr>
    </w:p>
    <w:p w14:paraId="7BCBE34A" w14:textId="77777777" w:rsidR="00134329" w:rsidRDefault="00134329" w:rsidP="00D909F2">
      <w:pPr>
        <w:jc w:val="center"/>
      </w:pPr>
    </w:p>
    <w:p w14:paraId="57DB9940" w14:textId="77777777" w:rsidR="00134329" w:rsidRDefault="00134329" w:rsidP="00D909F2">
      <w:pPr>
        <w:jc w:val="center"/>
      </w:pPr>
    </w:p>
    <w:p w14:paraId="1E930066" w14:textId="77777777" w:rsidR="00134329" w:rsidRDefault="00134329" w:rsidP="00D909F2">
      <w:pPr>
        <w:jc w:val="center"/>
      </w:pPr>
    </w:p>
    <w:p w14:paraId="0882FBDC" w14:textId="77777777" w:rsidR="00134329" w:rsidRDefault="00134329" w:rsidP="00D909F2">
      <w:pPr>
        <w:jc w:val="center"/>
      </w:pPr>
    </w:p>
    <w:p w14:paraId="2404E03E" w14:textId="77777777" w:rsidR="00134329" w:rsidRDefault="00134329" w:rsidP="00D909F2">
      <w:pPr>
        <w:jc w:val="center"/>
      </w:pPr>
    </w:p>
    <w:p w14:paraId="6A1B82A3" w14:textId="77777777" w:rsidR="00134329" w:rsidRDefault="00134329" w:rsidP="00D909F2">
      <w:pPr>
        <w:jc w:val="center"/>
      </w:pPr>
    </w:p>
    <w:p w14:paraId="3C6F986F" w14:textId="77777777" w:rsidR="00134329" w:rsidRDefault="00134329" w:rsidP="00D909F2">
      <w:pPr>
        <w:jc w:val="center"/>
      </w:pPr>
      <w:bookmarkStart w:id="0" w:name="_GoBack"/>
      <w:bookmarkEnd w:id="0"/>
    </w:p>
    <w:p w14:paraId="223688B9" w14:textId="2C74B1A8" w:rsidR="00FA2580" w:rsidRDefault="00A15CFF" w:rsidP="0046073E">
      <w:pPr>
        <w:spacing w:line="480" w:lineRule="auto"/>
        <w:ind w:firstLine="720"/>
      </w:pPr>
      <w:r>
        <w:t xml:space="preserve">In </w:t>
      </w:r>
      <w:r w:rsidR="00324635">
        <w:t>a</w:t>
      </w:r>
      <w:r>
        <w:t xml:space="preserve"> famous, almost </w:t>
      </w:r>
      <w:r w:rsidR="00E30E29">
        <w:t>legendary</w:t>
      </w:r>
      <w:r>
        <w:t xml:space="preserve"> incident </w:t>
      </w:r>
      <w:r w:rsidR="00324635">
        <w:t xml:space="preserve">that has since become part of the </w:t>
      </w:r>
      <w:r w:rsidR="005754E0">
        <w:t xml:space="preserve">oft-repeated </w:t>
      </w:r>
      <w:r w:rsidR="00324635">
        <w:t>folklore of</w:t>
      </w:r>
      <w:r>
        <w:t xml:space="preserve"> forensic linguistics, Georgetown </w:t>
      </w:r>
      <w:r w:rsidR="00324635">
        <w:t xml:space="preserve">linguistics </w:t>
      </w:r>
      <w:r>
        <w:t xml:space="preserve">professor Roger Shuy was approached by police who requested that he take a look at the ransom notes in a </w:t>
      </w:r>
      <w:r w:rsidR="005754E0">
        <w:t>major</w:t>
      </w:r>
      <w:r>
        <w:t xml:space="preserve"> kidnapping case. The notes demanded payment in weird, semiliterate speech—“No kops! Come alone!!”—followed by instructions regarding the ransom: “Put it in the green trash kan on the devil strip at the corner 18</w:t>
      </w:r>
      <w:r w:rsidRPr="00A15CFF">
        <w:rPr>
          <w:vertAlign w:val="superscript"/>
        </w:rPr>
        <w:t>th</w:t>
      </w:r>
      <w:r>
        <w:t xml:space="preserve"> and Carlson.” </w:t>
      </w:r>
      <w:r w:rsidR="005D24FA">
        <w:t>Shuy examined the notes, then asked the</w:t>
      </w:r>
      <w:r>
        <w:t xml:space="preserve"> police, “Is one of your suspects an educated man born in Akron, Ohio?” Astonished, </w:t>
      </w:r>
      <w:r w:rsidR="00B00C0A">
        <w:t>the officers</w:t>
      </w:r>
      <w:r>
        <w:t xml:space="preserve"> asked him how he had known. </w:t>
      </w:r>
      <w:r w:rsidR="008B6091">
        <w:t xml:space="preserve">“Kop” and “kan,” Shuy explained, were most likely intentional misspellings trying to pass for </w:t>
      </w:r>
      <w:r w:rsidR="005D24FA">
        <w:t>illiterate</w:t>
      </w:r>
      <w:r w:rsidR="008B6091">
        <w:t xml:space="preserve"> speech—</w:t>
      </w:r>
      <w:r w:rsidR="005D24FA">
        <w:t xml:space="preserve">and </w:t>
      </w:r>
      <w:r w:rsidR="00324635">
        <w:t xml:space="preserve">the expression </w:t>
      </w:r>
      <w:r w:rsidR="005D24FA">
        <w:t xml:space="preserve">“devil strip” (referring to </w:t>
      </w:r>
      <w:r w:rsidR="008B6091">
        <w:t xml:space="preserve">the patch of grass between the sidewalk and the curb) </w:t>
      </w:r>
      <w:r w:rsidR="00CF672F">
        <w:t>is</w:t>
      </w:r>
      <w:r w:rsidR="00E746FA">
        <w:t xml:space="preserve"> </w:t>
      </w:r>
      <w:r w:rsidR="008B6091">
        <w:t xml:space="preserve">a term used </w:t>
      </w:r>
      <w:r w:rsidR="005D24FA">
        <w:t>solely in Akron, Ohio</w:t>
      </w:r>
      <w:r w:rsidR="00324635">
        <w:rPr>
          <w:rStyle w:val="FootnoteReference"/>
        </w:rPr>
        <w:footnoteReference w:id="1"/>
      </w:r>
      <w:r w:rsidR="005D24FA">
        <w:t>.</w:t>
      </w:r>
      <w:r w:rsidR="00FA2580">
        <w:t xml:space="preserve"> </w:t>
      </w:r>
    </w:p>
    <w:p w14:paraId="2127F667" w14:textId="7DFBB360" w:rsidR="005D24FA" w:rsidRDefault="005D24FA" w:rsidP="0046073E">
      <w:pPr>
        <w:spacing w:line="480" w:lineRule="auto"/>
        <w:ind w:firstLine="720"/>
      </w:pPr>
      <w:r>
        <w:t xml:space="preserve">The story was a sensation, drawing attention to a </w:t>
      </w:r>
      <w:r w:rsidR="00B00C0A">
        <w:t>field</w:t>
      </w:r>
      <w:r>
        <w:t xml:space="preserve"> that</w:t>
      </w:r>
      <w:r w:rsidR="00E746FA">
        <w:t xml:space="preserve"> had</w:t>
      </w:r>
      <w:r w:rsidR="00B00C0A">
        <w:t xml:space="preserve"> previously</w:t>
      </w:r>
      <w:r w:rsidR="00E746FA">
        <w:t xml:space="preserve"> received little re</w:t>
      </w:r>
      <w:r w:rsidR="00CB13EB">
        <w:t>cognition from media outlets in</w:t>
      </w:r>
      <w:r w:rsidR="00B00C0A">
        <w:t xml:space="preserve"> </w:t>
      </w:r>
      <w:r w:rsidR="00CB13EB">
        <w:t xml:space="preserve">their </w:t>
      </w:r>
      <w:r w:rsidR="00E746FA">
        <w:t xml:space="preserve">coverage of crime </w:t>
      </w:r>
      <w:r w:rsidR="00FA2580">
        <w:t>investigation</w:t>
      </w:r>
      <w:r w:rsidR="00E746FA">
        <w:t xml:space="preserve">. Of course, </w:t>
      </w:r>
      <w:r w:rsidR="001D2BBD">
        <w:t>there i</w:t>
      </w:r>
      <w:r w:rsidR="00B00C0A">
        <w:t xml:space="preserve">s a </w:t>
      </w:r>
      <w:r w:rsidR="00497260">
        <w:t xml:space="preserve">good </w:t>
      </w:r>
      <w:r w:rsidR="00B00C0A">
        <w:t>reason most forensic linguistics cases don’t make it into the ne</w:t>
      </w:r>
      <w:r w:rsidR="006604F2">
        <w:t>ws; the discipline is</w:t>
      </w:r>
      <w:r w:rsidR="001D2BBD">
        <w:t xml:space="preserve"> no</w:t>
      </w:r>
      <w:r w:rsidR="006604F2">
        <w:t>t always headline-worthy</w:t>
      </w:r>
      <w:r w:rsidR="00B00C0A">
        <w:t>, with the</w:t>
      </w:r>
      <w:r w:rsidR="00FA2580">
        <w:t xml:space="preserve"> majority of</w:t>
      </w:r>
      <w:r>
        <w:t xml:space="preserve"> investigations rely</w:t>
      </w:r>
      <w:r w:rsidR="00B00C0A">
        <w:t>ing</w:t>
      </w:r>
      <w:r>
        <w:t xml:space="preserve"> on the analys</w:t>
      </w:r>
      <w:r w:rsidR="00D909B7">
        <w:t xml:space="preserve">is of </w:t>
      </w:r>
      <w:r w:rsidR="00CB13EB">
        <w:t xml:space="preserve">what most would consider </w:t>
      </w:r>
      <w:r w:rsidR="00D909B7">
        <w:t xml:space="preserve">relatively uninteresting linguistic properties, </w:t>
      </w:r>
      <w:r w:rsidR="00CB13EB">
        <w:t>such as</w:t>
      </w:r>
      <w:r>
        <w:t xml:space="preserve"> phrase structure and punctuation</w:t>
      </w:r>
      <w:r w:rsidR="00CB13EB">
        <w:rPr>
          <w:rStyle w:val="FootnoteReference"/>
        </w:rPr>
        <w:footnoteReference w:id="2"/>
      </w:r>
      <w:r>
        <w:t>.</w:t>
      </w:r>
      <w:r w:rsidR="00E746FA">
        <w:t xml:space="preserve"> Still, there </w:t>
      </w:r>
      <w:r w:rsidR="00183B2B">
        <w:t>have be</w:t>
      </w:r>
      <w:r w:rsidR="00FA2580">
        <w:t>en some famous incidents—like the one involving Shuy—in which</w:t>
      </w:r>
      <w:r w:rsidR="00183B2B">
        <w:t xml:space="preserve"> </w:t>
      </w:r>
      <w:r w:rsidR="00497260">
        <w:t>certain</w:t>
      </w:r>
      <w:r w:rsidR="00183B2B">
        <w:t xml:space="preserve"> </w:t>
      </w:r>
      <w:r w:rsidR="00E30E29">
        <w:t>peculiarities</w:t>
      </w:r>
      <w:r w:rsidR="00183B2B">
        <w:t xml:space="preserve"> </w:t>
      </w:r>
      <w:r w:rsidR="00497260">
        <w:t xml:space="preserve">in a person’s speech or writing </w:t>
      </w:r>
      <w:r w:rsidR="00E30E29">
        <w:t xml:space="preserve">inadvertently </w:t>
      </w:r>
      <w:r w:rsidR="00497260">
        <w:t xml:space="preserve">betrayed </w:t>
      </w:r>
      <w:r w:rsidR="004C355B">
        <w:t>his</w:t>
      </w:r>
      <w:r w:rsidR="00183B2B">
        <w:t xml:space="preserve"> identity.</w:t>
      </w:r>
      <w:r w:rsidR="004C355B">
        <w:t xml:space="preserve"> </w:t>
      </w:r>
      <w:r w:rsidR="00CB13EB">
        <w:t>One of the most remarkable of these</w:t>
      </w:r>
      <w:r w:rsidR="004C355B">
        <w:t xml:space="preserve"> </w:t>
      </w:r>
      <w:r w:rsidR="005754E0">
        <w:t>incidents</w:t>
      </w:r>
      <w:r w:rsidR="00CB13EB">
        <w:t xml:space="preserve"> wa</w:t>
      </w:r>
      <w:r w:rsidR="004C355B">
        <w:t xml:space="preserve">s </w:t>
      </w:r>
      <w:r w:rsidR="005754E0">
        <w:t>that involving the</w:t>
      </w:r>
      <w:r w:rsidR="004C355B">
        <w:t xml:space="preserve"> Unabomber</w:t>
      </w:r>
      <w:r w:rsidR="00CA045C">
        <w:t>, who terrorized the U.S. over the course of 17 years with his homemade bombs and attacks on industrial society</w:t>
      </w:r>
      <w:r w:rsidR="004C355B">
        <w:t>.</w:t>
      </w:r>
      <w:r w:rsidR="00497260">
        <w:t xml:space="preserve"> This paper will examine </w:t>
      </w:r>
      <w:r w:rsidR="004C355B">
        <w:t>the</w:t>
      </w:r>
      <w:r w:rsidR="00497260">
        <w:t xml:space="preserve"> </w:t>
      </w:r>
      <w:r w:rsidR="009B03B9">
        <w:t xml:space="preserve">specific </w:t>
      </w:r>
      <w:r w:rsidR="00497260">
        <w:t xml:space="preserve">linguistic anomalies </w:t>
      </w:r>
      <w:r w:rsidR="004C355B">
        <w:t xml:space="preserve">involved in </w:t>
      </w:r>
      <w:r w:rsidR="005754E0">
        <w:t>the Unabomber</w:t>
      </w:r>
      <w:r w:rsidR="004C355B">
        <w:t xml:space="preserve"> case and</w:t>
      </w:r>
      <w:r w:rsidR="00CB13EB">
        <w:t xml:space="preserve"> analyze</w:t>
      </w:r>
      <w:r w:rsidR="00497260">
        <w:t xml:space="preserve"> what</w:t>
      </w:r>
      <w:r w:rsidR="001D2BBD">
        <w:t>,</w:t>
      </w:r>
      <w:r w:rsidR="00497260">
        <w:t xml:space="preserve"> </w:t>
      </w:r>
      <w:r w:rsidR="004C355B">
        <w:t>exactly</w:t>
      </w:r>
      <w:r w:rsidR="001D2BBD">
        <w:t>,</w:t>
      </w:r>
      <w:r w:rsidR="004C355B">
        <w:t xml:space="preserve"> </w:t>
      </w:r>
      <w:r w:rsidR="00497260">
        <w:t xml:space="preserve">makes them “anomalies” </w:t>
      </w:r>
      <w:r w:rsidR="00CB13EB">
        <w:t>in the broader context of the English language</w:t>
      </w:r>
      <w:r w:rsidR="00497260">
        <w:t>.</w:t>
      </w:r>
    </w:p>
    <w:p w14:paraId="1524950D" w14:textId="0BBF005A" w:rsidR="00E30E29" w:rsidRDefault="005754E0" w:rsidP="0046073E">
      <w:pPr>
        <w:spacing w:line="480" w:lineRule="auto"/>
        <w:ind w:firstLine="720"/>
      </w:pPr>
      <w:r>
        <w:t>In late 1979</w:t>
      </w:r>
      <w:r w:rsidR="00E30E29">
        <w:t>, the FBI became involved in the investigation of</w:t>
      </w:r>
      <w:r w:rsidR="00AE7D45">
        <w:t xml:space="preserve"> a series of</w:t>
      </w:r>
      <w:r w:rsidR="00E30E29">
        <w:t xml:space="preserve"> </w:t>
      </w:r>
      <w:r w:rsidR="009B03B9">
        <w:t>bombings by an unknown perpetrator</w:t>
      </w:r>
      <w:r w:rsidR="00AE7D45">
        <w:t>. Th</w:t>
      </w:r>
      <w:r w:rsidR="00CA045C">
        <w:t xml:space="preserve">e </w:t>
      </w:r>
      <w:r w:rsidR="003C6F3F">
        <w:t xml:space="preserve">homemade </w:t>
      </w:r>
      <w:r w:rsidR="00CA045C">
        <w:t>bombs</w:t>
      </w:r>
      <w:r w:rsidR="003C6F3F">
        <w:t>, cobbled together out of wood and metal piping,</w:t>
      </w:r>
      <w:r w:rsidR="00CA045C">
        <w:t xml:space="preserve"> were untraceable; they had been delivered anonymously to University professors and airline officials, </w:t>
      </w:r>
      <w:r w:rsidR="00106882">
        <w:t>seriously wounding those who opened them</w:t>
      </w:r>
      <w:r w:rsidR="00C16778">
        <w:rPr>
          <w:rStyle w:val="FootnoteReference"/>
        </w:rPr>
        <w:footnoteReference w:id="3"/>
      </w:r>
      <w:r w:rsidR="00106882">
        <w:t>. Though clearly made by the same person</w:t>
      </w:r>
      <w:r w:rsidR="00ED0757">
        <w:t xml:space="preserve">, </w:t>
      </w:r>
      <w:r w:rsidR="009B03B9">
        <w:t>t</w:t>
      </w:r>
      <w:r w:rsidR="00106882">
        <w:t>hey left no clue as</w:t>
      </w:r>
      <w:r w:rsidR="009B03B9">
        <w:t xml:space="preserve"> </w:t>
      </w:r>
      <w:r w:rsidR="00ED0757">
        <w:t>to his identity or motivation; t</w:t>
      </w:r>
      <w:r w:rsidR="00106882">
        <w:t xml:space="preserve">he investigators on the case, which was given the code name </w:t>
      </w:r>
      <w:r w:rsidR="00106882" w:rsidRPr="00106882">
        <w:t>UNABOM (UNiversity and Airline BOMber)</w:t>
      </w:r>
      <w:r w:rsidR="00106882">
        <w:t>, were baffle</w:t>
      </w:r>
      <w:r w:rsidR="003C6F3F">
        <w:t xml:space="preserve">d. Then, </w:t>
      </w:r>
      <w:r w:rsidR="00737E0C">
        <w:t>abruptly</w:t>
      </w:r>
      <w:r w:rsidR="003C6F3F">
        <w:t xml:space="preserve">, the bombings ceased. After </w:t>
      </w:r>
      <w:r w:rsidR="00ED0757">
        <w:t>six years without a single incident, it seemed unlikely that the case would ever be solved</w:t>
      </w:r>
      <w:r w:rsidR="001D2BBD">
        <w:t>. In 1995</w:t>
      </w:r>
      <w:r w:rsidR="00106882">
        <w:t xml:space="preserve">, however, the Unabomber struck again, this time writing a letter to </w:t>
      </w:r>
      <w:r w:rsidR="00106882" w:rsidRPr="00106882">
        <w:rPr>
          <w:i/>
        </w:rPr>
        <w:t>The New York Times</w:t>
      </w:r>
      <w:r w:rsidR="00106882">
        <w:t xml:space="preserve"> claiming that his group, “FC,” was responsible. </w:t>
      </w:r>
      <w:r w:rsidR="009B03B9">
        <w:t xml:space="preserve">Subsequent letters demanded that </w:t>
      </w:r>
      <w:r w:rsidR="00ED0757">
        <w:t xml:space="preserve">the paper publish his “manifesto,” a 35,000-word essay titled </w:t>
      </w:r>
      <w:r w:rsidR="00ED0757" w:rsidRPr="00ED0757">
        <w:rPr>
          <w:i/>
        </w:rPr>
        <w:t>Industrial Society and Its Future</w:t>
      </w:r>
      <w:r w:rsidR="00C16778" w:rsidRPr="00F11FBF">
        <w:rPr>
          <w:rStyle w:val="FootnoteReference"/>
        </w:rPr>
        <w:footnoteReference w:id="4"/>
      </w:r>
      <w:r w:rsidR="00ED0757">
        <w:t xml:space="preserve">. Although experts vehemently disputed whether or not </w:t>
      </w:r>
      <w:r w:rsidR="001D2BBD">
        <w:t>they should</w:t>
      </w:r>
      <w:r w:rsidR="00ED0757">
        <w:t xml:space="preserve"> comply with the demand</w:t>
      </w:r>
      <w:r w:rsidR="001D2BBD">
        <w:t>s of a terrorist</w:t>
      </w:r>
      <w:r w:rsidR="00ED0757">
        <w:t xml:space="preserve">, the U.S. Department of Justice eventually recommended that the document be published. In September of the same year, both </w:t>
      </w:r>
      <w:r w:rsidR="00ED0757" w:rsidRPr="006D4988">
        <w:rPr>
          <w:i/>
        </w:rPr>
        <w:t>The New York Times</w:t>
      </w:r>
      <w:r w:rsidR="00ED0757">
        <w:t xml:space="preserve"> and </w:t>
      </w:r>
      <w:r w:rsidR="00ED0757" w:rsidRPr="006D4988">
        <w:rPr>
          <w:i/>
        </w:rPr>
        <w:t>The Washington Post</w:t>
      </w:r>
      <w:r w:rsidR="00ED0757">
        <w:t xml:space="preserve"> </w:t>
      </w:r>
      <w:r w:rsidR="001D2BBD">
        <w:t>printed the manifesto as a small pamphlet</w:t>
      </w:r>
      <w:r w:rsidR="00ED0757">
        <w:t>.</w:t>
      </w:r>
    </w:p>
    <w:p w14:paraId="667F1643" w14:textId="397D3F28" w:rsidR="003A3349" w:rsidRPr="007D3314" w:rsidRDefault="00737E0C" w:rsidP="0046073E">
      <w:pPr>
        <w:spacing w:line="480" w:lineRule="auto"/>
        <w:ind w:firstLine="720"/>
      </w:pPr>
      <w:r>
        <w:t xml:space="preserve">46-year-old </w:t>
      </w:r>
      <w:r w:rsidR="00ED0757">
        <w:t xml:space="preserve">David Kaczynski, living with his wife Linda in Albany, New York, </w:t>
      </w:r>
      <w:r w:rsidR="00F11FBF">
        <w:t>began reading through</w:t>
      </w:r>
      <w:r w:rsidR="003C6F3F">
        <w:t xml:space="preserve"> the manifesto when it was published and</w:t>
      </w:r>
      <w:r w:rsidR="00ED0757">
        <w:t xml:space="preserve"> was disturbed by the familiarity of some of the phrases.</w:t>
      </w:r>
      <w:r w:rsidR="003C6F3F">
        <w:t xml:space="preserve"> It was a voice he recognized—that of his brother, Ted. </w:t>
      </w:r>
      <w:r w:rsidR="003A3349">
        <w:t xml:space="preserve">What caught his attention was the phrase “cool-headed logicians”—one of the buzzwords that </w:t>
      </w:r>
      <w:r w:rsidR="00835E42">
        <w:t>his brother had used during their</w:t>
      </w:r>
      <w:r w:rsidR="003A3349">
        <w:t xml:space="preserve"> philosophical </w:t>
      </w:r>
      <w:r w:rsidR="00835E42">
        <w:t>discussions</w:t>
      </w:r>
      <w:r w:rsidR="003A3349">
        <w:t xml:space="preserve"> over the years</w:t>
      </w:r>
      <w:r w:rsidR="00F11FBF">
        <w:rPr>
          <w:rStyle w:val="FootnoteReference"/>
        </w:rPr>
        <w:footnoteReference w:id="5"/>
      </w:r>
      <w:r w:rsidR="003A3349">
        <w:t>.</w:t>
      </w:r>
      <w:r w:rsidR="003A3349" w:rsidRPr="007D3314">
        <w:t xml:space="preserve"> </w:t>
      </w:r>
      <w:r w:rsidR="003A3349">
        <w:t xml:space="preserve">In the manifesto, the expression appeared as “…But it is obvious that modern leftist philosophers are not simply </w:t>
      </w:r>
      <w:r w:rsidR="003A3349" w:rsidRPr="00766705">
        <w:rPr>
          <w:i/>
        </w:rPr>
        <w:t>cool-headed logicians</w:t>
      </w:r>
      <w:r w:rsidR="003A3349">
        <w:t xml:space="preserve"> systematically analyzing</w:t>
      </w:r>
      <w:r w:rsidR="00835E42">
        <w:t xml:space="preserve"> the foundation of knowledge.” Moreover, t</w:t>
      </w:r>
      <w:r w:rsidR="003A3349">
        <w:t xml:space="preserve">he ideologies espoused in the rambling text </w:t>
      </w:r>
      <w:r w:rsidR="00AD4D7B">
        <w:t xml:space="preserve">(mostly concerning the dangers of industrialization and the evil of modern technology) </w:t>
      </w:r>
      <w:r w:rsidR="003A3349">
        <w:t>were consistent with Ted Kaczynski’s personal philosophy.</w:t>
      </w:r>
    </w:p>
    <w:p w14:paraId="111FFAEB" w14:textId="6CF53A54" w:rsidR="00E32E9C" w:rsidRDefault="00835E42" w:rsidP="0046073E">
      <w:pPr>
        <w:spacing w:line="480" w:lineRule="auto"/>
        <w:ind w:firstLine="720"/>
      </w:pPr>
      <w:r>
        <w:t>After</w:t>
      </w:r>
      <w:r w:rsidR="00E32E9C">
        <w:t xml:space="preserve"> </w:t>
      </w:r>
      <w:r w:rsidR="0061660B">
        <w:t>David came forward, the FBI put out a warrant for Ted’s arrest</w:t>
      </w:r>
      <w:r w:rsidR="00B03D2A">
        <w:t>. They</w:t>
      </w:r>
      <w:r w:rsidR="001E0BC9">
        <w:t xml:space="preserve"> </w:t>
      </w:r>
      <w:r w:rsidR="00B03D2A">
        <w:t>took</w:t>
      </w:r>
      <w:r w:rsidR="001E0BC9">
        <w:t xml:space="preserve"> him into custody </w:t>
      </w:r>
      <w:r w:rsidR="00B03D2A">
        <w:t>on April 3</w:t>
      </w:r>
      <w:r w:rsidR="00B03D2A" w:rsidRPr="00B03D2A">
        <w:rPr>
          <w:vertAlign w:val="superscript"/>
        </w:rPr>
        <w:t>rd</w:t>
      </w:r>
      <w:r w:rsidR="00B03D2A">
        <w:t>, 1996, at</w:t>
      </w:r>
      <w:r w:rsidR="001E0BC9">
        <w:t xml:space="preserve"> the</w:t>
      </w:r>
      <w:r>
        <w:t xml:space="preserve"> remote cabin in</w:t>
      </w:r>
      <w:r w:rsidR="001E0BC9">
        <w:t xml:space="preserve"> Montana where he had lived since 1971. Shortly afterwards, the</w:t>
      </w:r>
      <w:r w:rsidR="0061660B">
        <w:t xml:space="preserve"> team began assembling what would be known as the “T-Docs,”</w:t>
      </w:r>
      <w:r w:rsidR="00483637">
        <w:t xml:space="preserve"> a collection of</w:t>
      </w:r>
      <w:r w:rsidR="0061660B">
        <w:t xml:space="preserve"> known writings by Ted Kaczynski. </w:t>
      </w:r>
      <w:r w:rsidR="00483637">
        <w:t xml:space="preserve">In the end, the corpus would contain 178 documents, including </w:t>
      </w:r>
      <w:r w:rsidR="0061660B">
        <w:t xml:space="preserve">Ted’s 1966 doctoral thesis (he had received a PhD in mathematics from the University of Michigan), teaching notes, unpublished essays dealing with sociological issues, </w:t>
      </w:r>
      <w:r w:rsidR="00483637">
        <w:t>an angry missive to a former employer, and personal letters that David had provided. The 14 “U-Docs”—writings by the Unabomber—consisted of the manifesto</w:t>
      </w:r>
      <w:r w:rsidR="005754E0">
        <w:t xml:space="preserve"> and other</w:t>
      </w:r>
      <w:r w:rsidR="00483637">
        <w:t xml:space="preserve"> letters that had been sent to</w:t>
      </w:r>
      <w:r w:rsidR="004725E7">
        <w:t xml:space="preserve"> both</w:t>
      </w:r>
      <w:r w:rsidR="00483637">
        <w:t xml:space="preserve"> </w:t>
      </w:r>
      <w:r w:rsidR="00483637" w:rsidRPr="00483637">
        <w:rPr>
          <w:i/>
        </w:rPr>
        <w:t>The New York Times</w:t>
      </w:r>
      <w:r w:rsidR="00483637">
        <w:t xml:space="preserve"> and the FBI</w:t>
      </w:r>
      <w:r w:rsidR="00895201">
        <w:rPr>
          <w:rStyle w:val="FootnoteReference"/>
        </w:rPr>
        <w:footnoteReference w:id="6"/>
      </w:r>
      <w:r w:rsidR="00483637">
        <w:t>.</w:t>
      </w:r>
    </w:p>
    <w:p w14:paraId="12E9C2D8" w14:textId="6075AC88" w:rsidR="003A3349" w:rsidRDefault="0091508E" w:rsidP="0046073E">
      <w:pPr>
        <w:spacing w:line="480" w:lineRule="auto"/>
        <w:ind w:firstLine="720"/>
      </w:pPr>
      <w:r>
        <w:t>In charge of the investigation</w:t>
      </w:r>
      <w:r w:rsidR="004725E7">
        <w:t xml:space="preserve"> </w:t>
      </w:r>
      <w:r>
        <w:t xml:space="preserve">was </w:t>
      </w:r>
      <w:r w:rsidR="00B03D2A">
        <w:t>special agent</w:t>
      </w:r>
      <w:r>
        <w:t xml:space="preserve"> James R. Fitzgerald,</w:t>
      </w:r>
      <w:r w:rsidR="00E32E9C">
        <w:t xml:space="preserve"> </w:t>
      </w:r>
      <w:r>
        <w:t xml:space="preserve">acting chief of </w:t>
      </w:r>
      <w:r w:rsidR="00D97768">
        <w:t xml:space="preserve">the FBI </w:t>
      </w:r>
      <w:r w:rsidRPr="0091508E">
        <w:t>Behavioral Analysis</w:t>
      </w:r>
      <w:r w:rsidR="00D97768">
        <w:t xml:space="preserve"> Unit</w:t>
      </w:r>
      <w:r>
        <w:t xml:space="preserve">. </w:t>
      </w:r>
      <w:r w:rsidR="005434A8">
        <w:t xml:space="preserve">Fitzgerald had already spent the previous months intensely studying the manifesto, reading it </w:t>
      </w:r>
      <w:r w:rsidR="00B03D2A">
        <w:t xml:space="preserve">over and over again in the hopes of internalizing the speaker’s sense of identity. One expression in particular </w:t>
      </w:r>
      <w:r w:rsidR="005434A8">
        <w:t xml:space="preserve">had </w:t>
      </w:r>
      <w:r w:rsidR="00B03D2A">
        <w:t xml:space="preserve">caught his eye; in </w:t>
      </w:r>
      <w:r w:rsidR="00B03D2A" w:rsidRPr="00B03D2A">
        <w:t xml:space="preserve">paragraph 185 of his manifesto, Kaczynski </w:t>
      </w:r>
      <w:r w:rsidR="00B03D2A">
        <w:t>had written</w:t>
      </w:r>
      <w:r w:rsidR="00D97768">
        <w:t>:</w:t>
      </w:r>
      <w:r w:rsidR="00B03D2A" w:rsidRPr="00B03D2A">
        <w:t xml:space="preserve"> “As for the negative consequences of eliminating i</w:t>
      </w:r>
      <w:r w:rsidR="00D97768">
        <w:t>ndustrial society—well, you can’</w:t>
      </w:r>
      <w:r w:rsidR="00B03D2A" w:rsidRPr="00B03D2A">
        <w:t>t eat your cake and have it too</w:t>
      </w:r>
      <w:r w:rsidR="00D97768">
        <w:t>…</w:t>
      </w:r>
      <w:r w:rsidR="00B03D2A" w:rsidRPr="00B03D2A">
        <w:t>”</w:t>
      </w:r>
      <w:r w:rsidR="00B03D2A">
        <w:t xml:space="preserve"> The </w:t>
      </w:r>
      <w:r w:rsidR="00D97768">
        <w:t>phrase</w:t>
      </w:r>
      <w:r w:rsidR="00C51AE6">
        <w:t xml:space="preserve"> struck</w:t>
      </w:r>
      <w:r w:rsidR="00737E0C">
        <w:t xml:space="preserve"> Fitzgerald as slightly funny; wasn’t the saying </w:t>
      </w:r>
      <w:r w:rsidR="00D97768">
        <w:t>supposed to be “have your cake and eat it too</w:t>
      </w:r>
      <w:r w:rsidR="00737E0C">
        <w:t>”</w:t>
      </w:r>
      <w:r w:rsidR="00C51AE6">
        <w:t>? I</w:t>
      </w:r>
      <w:r w:rsidR="00D97768">
        <w:t>t seemed like a curiously sloppy mistake for a manifesto that was</w:t>
      </w:r>
      <w:r w:rsidR="00D404D0">
        <w:t xml:space="preserve"> otherwise</w:t>
      </w:r>
      <w:r w:rsidR="00D97768">
        <w:t xml:space="preserve"> grammatically </w:t>
      </w:r>
      <w:r w:rsidR="00D404D0">
        <w:t>immaculate</w:t>
      </w:r>
      <w:r w:rsidR="00D97768">
        <w:t xml:space="preserve">. Finally, Fitzgerald thought, he had “found </w:t>
      </w:r>
      <w:r w:rsidR="005754E0">
        <w:t>[the Unabomber]</w:t>
      </w:r>
      <w:r w:rsidR="00D97768">
        <w:t xml:space="preserve"> to be linguist</w:t>
      </w:r>
      <w:r w:rsidR="00895201">
        <w:t>ically ‘wrong’ about something”</w:t>
      </w:r>
      <w:r w:rsidR="00895201">
        <w:rPr>
          <w:rStyle w:val="FootnoteReference"/>
        </w:rPr>
        <w:footnoteReference w:id="7"/>
      </w:r>
      <w:r w:rsidR="00895201">
        <w:t>.</w:t>
      </w:r>
    </w:p>
    <w:p w14:paraId="5D1C7459" w14:textId="3440F260" w:rsidR="00D404D0" w:rsidRDefault="00D404D0" w:rsidP="0046073E">
      <w:pPr>
        <w:spacing w:line="480" w:lineRule="auto"/>
        <w:ind w:firstLine="720"/>
      </w:pPr>
      <w:r>
        <w:t>In fact, Kaczynski wasn’t wrong</w:t>
      </w:r>
      <w:r w:rsidR="00AD4D7B">
        <w:t xml:space="preserve"> at all; t</w:t>
      </w:r>
      <w:r>
        <w:t xml:space="preserve">he phrase </w:t>
      </w:r>
      <w:r w:rsidR="005434A8">
        <w:t>as it originally appeared</w:t>
      </w:r>
      <w:r>
        <w:t xml:space="preserve"> in English </w:t>
      </w:r>
      <w:r w:rsidR="005434A8">
        <w:t>actually was</w:t>
      </w:r>
      <w:r>
        <w:t xml:space="preserve"> “eat your cake and have it, too”—the idea being that one cannot eat his cake and then expect to still have it afterwards. The first recorded usage appeared in a 1546 compendium of proverbs by English writer John Heywood as </w:t>
      </w:r>
      <w:r w:rsidRPr="00FC1A53">
        <w:t>“Wolde ye bothe eate your cake, and haue your cake?”</w:t>
      </w:r>
      <w:r w:rsidR="00895201">
        <w:rPr>
          <w:rStyle w:val="FootnoteReference"/>
        </w:rPr>
        <w:footnoteReference w:id="8"/>
      </w:r>
      <w:r>
        <w:t>.</w:t>
      </w:r>
    </w:p>
    <w:p w14:paraId="07AD8BEE" w14:textId="0BC73DF5" w:rsidR="00D404D0" w:rsidRDefault="00D404D0" w:rsidP="0046073E">
      <w:pPr>
        <w:spacing w:line="480" w:lineRule="auto"/>
        <w:ind w:firstLine="720"/>
      </w:pPr>
      <w:r>
        <w:t xml:space="preserve">In 1738, the saying appeared in Jonathan Swift’s satire </w:t>
      </w:r>
      <w:r w:rsidRPr="0053113D">
        <w:rPr>
          <w:i/>
        </w:rPr>
        <w:t>Polite Conversation</w:t>
      </w:r>
      <w:r>
        <w:t>, an indication that the phrase was already in widespread use; the book was more or less a compendium of catch phrases, idioms, slang, and oaths that Swift considered cliché. In the book,</w:t>
      </w:r>
      <w:r w:rsidR="00CA6A8C">
        <w:t xml:space="preserve"> it is</w:t>
      </w:r>
      <w:r>
        <w:t xml:space="preserve"> a character named Lady Answerall</w:t>
      </w:r>
      <w:r w:rsidR="00CA6A8C">
        <w:t xml:space="preserve"> who</w:t>
      </w:r>
      <w:r>
        <w:t xml:space="preserve"> exclaims, “She cannot eat her cake and have her cake!”</w:t>
      </w:r>
      <w:r w:rsidR="00CA6A8C">
        <w:t xml:space="preserve"> </w:t>
      </w:r>
      <w:r w:rsidR="005754E0">
        <w:t>Eleven</w:t>
      </w:r>
      <w:r>
        <w:t xml:space="preserve"> years later, Swift’s book was </w:t>
      </w:r>
      <w:r w:rsidR="005754E0">
        <w:t>“reimagined” (read: plagiarized)</w:t>
      </w:r>
      <w:r>
        <w:t xml:space="preserve"> </w:t>
      </w:r>
      <w:r w:rsidR="00BC0639">
        <w:t xml:space="preserve">by an anonymous author </w:t>
      </w:r>
      <w:r>
        <w:t xml:space="preserve">under the title </w:t>
      </w:r>
      <w:r w:rsidRPr="0053113D">
        <w:rPr>
          <w:i/>
        </w:rPr>
        <w:t>Tittle Tattle</w:t>
      </w:r>
      <w:r>
        <w:t xml:space="preserve">. This time, however, </w:t>
      </w:r>
      <w:r w:rsidR="00CA6A8C">
        <w:t>an interesting transposition of verbs took place; the</w:t>
      </w:r>
      <w:r>
        <w:t xml:space="preserve"> phrase got flipped, resulting in “She cannot eat her cake and have her cake.”</w:t>
      </w:r>
    </w:p>
    <w:p w14:paraId="21F4CA92" w14:textId="7F595811" w:rsidR="000F6200" w:rsidRDefault="000F6200" w:rsidP="0046073E">
      <w:pPr>
        <w:spacing w:line="480" w:lineRule="auto"/>
      </w:pPr>
      <w:r>
        <w:tab/>
        <w:t>Other adaptation</w:t>
      </w:r>
      <w:r w:rsidR="00B32633">
        <w:t>s</w:t>
      </w:r>
      <w:r>
        <w:t xml:space="preserve"> of the phrase </w:t>
      </w:r>
      <w:r w:rsidR="00B32633">
        <w:t>began appearing</w:t>
      </w:r>
      <w:r>
        <w:t xml:space="preserve"> in various publications, one of the </w:t>
      </w:r>
      <w:r w:rsidR="00B32633">
        <w:t xml:space="preserve">more </w:t>
      </w:r>
      <w:r w:rsidR="009F2D2C">
        <w:t>intriguing</w:t>
      </w:r>
      <w:r w:rsidR="00B32633">
        <w:t xml:space="preserve"> being a </w:t>
      </w:r>
      <w:r>
        <w:t>poem</w:t>
      </w:r>
      <w:r w:rsidR="00B32633">
        <w:t xml:space="preserve"> in a 1797 edition of the </w:t>
      </w:r>
      <w:r w:rsidR="00B32633" w:rsidRPr="00FF7CF5">
        <w:rPr>
          <w:i/>
        </w:rPr>
        <w:t>Connecticut Courant</w:t>
      </w:r>
      <w:r w:rsidR="00B32633">
        <w:t>. The verse read:</w:t>
      </w:r>
      <w:r>
        <w:t xml:space="preserve"> “Thus greedy boys would gladly treat it/ Could they but keep t</w:t>
      </w:r>
      <w:r w:rsidR="00895201">
        <w:t>heir cake and eat it</w:t>
      </w:r>
      <w:r>
        <w:t>”</w:t>
      </w:r>
      <w:r w:rsidR="00895201">
        <w:rPr>
          <w:rStyle w:val="FootnoteReference"/>
        </w:rPr>
        <w:footnoteReference w:id="9"/>
      </w:r>
      <w:r w:rsidR="00895201">
        <w:t>.</w:t>
      </w:r>
      <w:r>
        <w:t xml:space="preserve"> </w:t>
      </w:r>
      <w:r w:rsidR="009F2D2C">
        <w:t>It is interesting to observe</w:t>
      </w:r>
      <w:r w:rsidR="0034517D">
        <w:t xml:space="preserve"> here</w:t>
      </w:r>
      <w:r w:rsidR="008255F1">
        <w:t xml:space="preserve"> the way the</w:t>
      </w:r>
      <w:r>
        <w:t xml:space="preserve"> rhyme scheme </w:t>
      </w:r>
      <w:r w:rsidR="008255F1">
        <w:t>likely influenced</w:t>
      </w:r>
      <w:r w:rsidR="00B32633">
        <w:t xml:space="preserve"> </w:t>
      </w:r>
      <w:r w:rsidR="009F2D2C">
        <w:t>the have-eat construction, and to consider this in the broader context of linguistic change</w:t>
      </w:r>
      <w:r w:rsidR="0034517D">
        <w:t>. Al</w:t>
      </w:r>
      <w:r w:rsidR="008255F1">
        <w:t xml:space="preserve">though this was not the first occurrence of the have-eat (or, rather, keep-eat) </w:t>
      </w:r>
      <w:r w:rsidR="00CF672F">
        <w:t>construction, it certainly did no</w:t>
      </w:r>
      <w:r w:rsidR="008255F1">
        <w:t xml:space="preserve">t diminish the </w:t>
      </w:r>
      <w:r w:rsidR="009F2D2C">
        <w:t>prevalence of the new wording. The use of the word “keep” rather than “have” also seems to clarify</w:t>
      </w:r>
      <w:r>
        <w:t xml:space="preserve"> that this</w:t>
      </w:r>
      <w:r w:rsidR="0034517D">
        <w:t xml:space="preserve"> is not a </w:t>
      </w:r>
      <w:r w:rsidR="009F2D2C">
        <w:t xml:space="preserve">mere </w:t>
      </w:r>
      <w:r w:rsidR="0034517D">
        <w:t>transient kind of</w:t>
      </w:r>
      <w:r w:rsidR="00BE1675">
        <w:t xml:space="preserve"> cake-having, </w:t>
      </w:r>
      <w:r w:rsidR="009F2D2C">
        <w:t>thus capturing</w:t>
      </w:r>
      <w:r w:rsidR="00BE1675">
        <w:t xml:space="preserve"> more clearly the spirit of the original proverb. </w:t>
      </w:r>
      <w:r>
        <w:t xml:space="preserve"> </w:t>
      </w:r>
      <w:r w:rsidR="00CF672F">
        <w:t>Unfortunately, “keep” did no</w:t>
      </w:r>
      <w:r w:rsidR="0034517D">
        <w:t xml:space="preserve">t </w:t>
      </w:r>
      <w:r w:rsidR="00BE1675">
        <w:t>seem to catch on.</w:t>
      </w:r>
      <w:r w:rsidR="0034517D">
        <w:t xml:space="preserve"> </w:t>
      </w:r>
    </w:p>
    <w:p w14:paraId="63BF3744" w14:textId="0944CF2F" w:rsidR="00BE1675" w:rsidRDefault="000F6200" w:rsidP="0046073E">
      <w:pPr>
        <w:spacing w:line="480" w:lineRule="auto"/>
      </w:pPr>
      <w:r>
        <w:tab/>
      </w:r>
      <w:r w:rsidR="00C461B4">
        <w:t>In</w:t>
      </w:r>
      <w:r>
        <w:t xml:space="preserve"> the mid-19</w:t>
      </w:r>
      <w:r w:rsidRPr="000F6200">
        <w:rPr>
          <w:vertAlign w:val="superscript"/>
        </w:rPr>
        <w:t>th</w:t>
      </w:r>
      <w:r>
        <w:t xml:space="preserve"> century, </w:t>
      </w:r>
      <w:r w:rsidR="00BE1675">
        <w:t>however</w:t>
      </w:r>
      <w:r>
        <w:t xml:space="preserve">, </w:t>
      </w:r>
      <w:r w:rsidR="00C461B4">
        <w:t xml:space="preserve">the </w:t>
      </w:r>
      <w:r w:rsidR="00BE1675">
        <w:t>have-eat verb order</w:t>
      </w:r>
      <w:r>
        <w:t xml:space="preserve"> </w:t>
      </w:r>
      <w:r w:rsidR="00C461B4">
        <w:t>began occurring with more and more frequency—</w:t>
      </w:r>
      <w:r w:rsidR="002A198B">
        <w:t>so much so that</w:t>
      </w:r>
      <w:r w:rsidR="00C461B4">
        <w:t xml:space="preserve">, </w:t>
      </w:r>
      <w:r w:rsidR="00BE1675">
        <w:t>by 1940, the new phrasing had overtaken the original.</w:t>
      </w:r>
      <w:r w:rsidR="009249D1">
        <w:t xml:space="preserve"> Google’s Ngram Viewer, which can graph the frequency with which specific phrases appear in</w:t>
      </w:r>
      <w:r w:rsidR="00C461B4">
        <w:t xml:space="preserve"> the books published each year</w:t>
      </w:r>
      <w:r w:rsidR="00550EAD">
        <w:t>, shows that, in the 1990</w:t>
      </w:r>
      <w:r w:rsidR="009249D1">
        <w:t>s, occurrence of the “have-eat” construction in American English was near</w:t>
      </w:r>
      <w:r w:rsidR="00550EAD">
        <w:t>ly five times that of “eat-have</w:t>
      </w:r>
      <w:r w:rsidR="009249D1">
        <w:t>”</w:t>
      </w:r>
      <w:r w:rsidR="00550EAD">
        <w:rPr>
          <w:rStyle w:val="FootnoteReference"/>
        </w:rPr>
        <w:footnoteReference w:id="10"/>
      </w:r>
      <w:r w:rsidR="00550EAD">
        <w:t xml:space="preserve">. </w:t>
      </w:r>
      <w:r w:rsidR="00C461B4">
        <w:t xml:space="preserve">Thus, Ted Kaczynski’s rendering of the phrase </w:t>
      </w:r>
      <w:r w:rsidR="00550EAD">
        <w:t xml:space="preserve">in 1995 </w:t>
      </w:r>
      <w:r w:rsidR="00C461B4">
        <w:t xml:space="preserve">as “eat your cake and have it too” was </w:t>
      </w:r>
      <w:r w:rsidR="00550EAD">
        <w:t>quite</w:t>
      </w:r>
      <w:r w:rsidR="005434A8">
        <w:t xml:space="preserve"> </w:t>
      </w:r>
      <w:r w:rsidR="00AD4D7B">
        <w:t>peculiar</w:t>
      </w:r>
      <w:r w:rsidR="005434A8">
        <w:t xml:space="preserve">—so </w:t>
      </w:r>
      <w:r w:rsidR="00AD4D7B">
        <w:t>peculiar</w:t>
      </w:r>
      <w:r w:rsidR="005434A8">
        <w:t xml:space="preserve">, in fact, that Fitzgerald remembered it when, </w:t>
      </w:r>
      <w:r w:rsidR="00AD4D7B">
        <w:t xml:space="preserve">months later, he came across the same expression in the T-Docs. </w:t>
      </w:r>
    </w:p>
    <w:p w14:paraId="5F85E853" w14:textId="5D7FF858" w:rsidR="00AD4D7B" w:rsidRDefault="00550EAD" w:rsidP="0046073E">
      <w:pPr>
        <w:spacing w:line="480" w:lineRule="auto"/>
        <w:ind w:firstLine="720"/>
      </w:pPr>
      <w:r>
        <w:t>The proverb appeared twice in the T-Docs, once i</w:t>
      </w:r>
      <w:r w:rsidR="00AD4D7B">
        <w:t xml:space="preserve">n a letter that Ted had sent to the Saturday Review magazine in the early 1970s, which claimed that modern society has irreparably damaged Earth’s ecosystems, </w:t>
      </w:r>
      <w:r>
        <w:t xml:space="preserve">and once </w:t>
      </w:r>
      <w:r w:rsidR="00AD4D7B">
        <w:t>in a letter dis</w:t>
      </w:r>
      <w:r>
        <w:t xml:space="preserve">covered in their mother’s home. Each time, it was </w:t>
      </w:r>
      <w:r w:rsidR="00AD4D7B">
        <w:t>the same wording</w:t>
      </w:r>
      <w:r>
        <w:t>; each time,</w:t>
      </w:r>
      <w:r w:rsidR="00AD4D7B">
        <w:t xml:space="preserve"> </w:t>
      </w:r>
      <w:r>
        <w:t>without a comma before the “too</w:t>
      </w:r>
      <w:r w:rsidR="00AD4D7B">
        <w:t>”</w:t>
      </w:r>
      <w:r w:rsidR="00BC0639">
        <w:rPr>
          <w:rStyle w:val="FootnoteReference"/>
        </w:rPr>
        <w:footnoteReference w:id="11"/>
      </w:r>
      <w:r>
        <w:t>.</w:t>
      </w:r>
    </w:p>
    <w:p w14:paraId="2FB404B4" w14:textId="29122E41" w:rsidR="00AD4D7B" w:rsidRDefault="002A198B" w:rsidP="0046073E">
      <w:pPr>
        <w:spacing w:line="480" w:lineRule="auto"/>
        <w:ind w:firstLine="720"/>
      </w:pPr>
      <w:r>
        <w:t xml:space="preserve">As it turned out, Ted Kaczynski’s </w:t>
      </w:r>
      <w:r w:rsidR="00AD4D7B">
        <w:t>mother</w:t>
      </w:r>
      <w:r w:rsidR="00550EAD">
        <w:t xml:space="preserve"> had</w:t>
      </w:r>
      <w:r w:rsidR="00AD4D7B">
        <w:t xml:space="preserve"> </w:t>
      </w:r>
      <w:r>
        <w:t xml:space="preserve">always emphasized </w:t>
      </w:r>
      <w:r w:rsidR="00550EAD">
        <w:t xml:space="preserve">the correctness of the eat-have </w:t>
      </w:r>
      <w:r>
        <w:t>verb order,</w:t>
      </w:r>
      <w:r w:rsidR="00AD4D7B">
        <w:t xml:space="preserve"> and he</w:t>
      </w:r>
      <w:r>
        <w:t>r son had</w:t>
      </w:r>
      <w:r w:rsidR="00AD4D7B">
        <w:t xml:space="preserve"> adhered </w:t>
      </w:r>
      <w:r w:rsidR="0024397A">
        <w:t>to</w:t>
      </w:r>
      <w:r>
        <w:t xml:space="preserve"> what he had been taught</w:t>
      </w:r>
      <w:r w:rsidR="00AD4D7B">
        <w:t xml:space="preserve">. Still, it’s worth noting that the </w:t>
      </w:r>
      <w:r w:rsidR="0024397A">
        <w:t xml:space="preserve">have-eat construction </w:t>
      </w:r>
      <w:r w:rsidR="00AD4D7B">
        <w:t>that later em</w:t>
      </w:r>
      <w:r w:rsidR="0024397A">
        <w:t xml:space="preserve">erged isn’t </w:t>
      </w:r>
      <w:r w:rsidR="0024397A" w:rsidRPr="00550EAD">
        <w:rPr>
          <w:i/>
        </w:rPr>
        <w:t>necessarily</w:t>
      </w:r>
      <w:r w:rsidR="0024397A">
        <w:t xml:space="preserve"> wrong. A</w:t>
      </w:r>
      <w:r w:rsidR="00AD4D7B">
        <w:t xml:space="preserve">lthough </w:t>
      </w:r>
      <w:r w:rsidR="0024397A">
        <w:t>it d</w:t>
      </w:r>
      <w:r w:rsidR="00AD4D7B">
        <w:t>oesn’t make much sense if we consider “and” to be linking the two events chronologically (i.e., first having the cake and</w:t>
      </w:r>
      <w:r w:rsidR="0024397A">
        <w:t xml:space="preserve"> then eating the cake—of course, one </w:t>
      </w:r>
      <w:r w:rsidR="00AD4D7B">
        <w:t xml:space="preserve">can first have </w:t>
      </w:r>
      <w:r w:rsidR="0024397A">
        <w:t>his</w:t>
      </w:r>
      <w:r w:rsidR="00AD4D7B">
        <w:t xml:space="preserve"> cake and then afterwards eat it), it </w:t>
      </w:r>
      <w:r w:rsidR="0024397A">
        <w:t xml:space="preserve">actually is perfectly reasonable if we </w:t>
      </w:r>
      <w:r w:rsidR="00AD4D7B">
        <w:t>think of “and” as sim</w:t>
      </w:r>
      <w:r w:rsidR="0024397A">
        <w:t>ply joining the two phrases (</w:t>
      </w:r>
      <w:r w:rsidR="00AD4D7B">
        <w:t xml:space="preserve">meaning </w:t>
      </w:r>
      <w:r w:rsidR="0024397A">
        <w:t xml:space="preserve">that </w:t>
      </w:r>
      <w:r w:rsidR="00AD4D7B">
        <w:t>the cake-having and cake-eating cannot be done simultaneously)</w:t>
      </w:r>
      <w:r w:rsidR="00BC0639">
        <w:rPr>
          <w:rStyle w:val="FootnoteReference"/>
        </w:rPr>
        <w:footnoteReference w:id="12"/>
      </w:r>
      <w:r w:rsidR="00550EAD">
        <w:t>.</w:t>
      </w:r>
    </w:p>
    <w:p w14:paraId="17137292" w14:textId="2745CAC5" w:rsidR="00AD4D7B" w:rsidRDefault="0024397A" w:rsidP="0046073E">
      <w:pPr>
        <w:spacing w:line="480" w:lineRule="auto"/>
        <w:ind w:firstLine="720"/>
      </w:pPr>
      <w:r>
        <w:t xml:space="preserve">In any case, Kaczynski’s eccentric use of the phrase was a distinctive linguistic </w:t>
      </w:r>
      <w:r w:rsidR="001016DF">
        <w:t xml:space="preserve">anomaly that solidified the case for the T- and U-Docs being penned by the same author. </w:t>
      </w:r>
      <w:r w:rsidR="00D909B7">
        <w:t xml:space="preserve">Though it was by no means definitive proof, Fitzgerald was able to immediately recognize the appearance of the same unusual phrasing in both sets of documents as </w:t>
      </w:r>
      <w:r w:rsidR="008444BF">
        <w:t xml:space="preserve">either </w:t>
      </w:r>
      <w:r w:rsidR="00D909B7">
        <w:t>a compelling piece of evidence, or else an extraordinary coincidence</w:t>
      </w:r>
      <w:r w:rsidR="008444BF">
        <w:rPr>
          <w:rStyle w:val="FootnoteReference"/>
        </w:rPr>
        <w:footnoteReference w:id="13"/>
      </w:r>
      <w:r w:rsidR="008444BF">
        <w:t>.</w:t>
      </w:r>
    </w:p>
    <w:p w14:paraId="50231F4D" w14:textId="4FCDF9EF" w:rsidR="00D909B7" w:rsidRDefault="00B71220" w:rsidP="0046073E">
      <w:pPr>
        <w:spacing w:line="480" w:lineRule="auto"/>
        <w:ind w:firstLine="720"/>
      </w:pPr>
      <w:r>
        <w:t>Further examination of the T-Docs pinpointed several</w:t>
      </w:r>
      <w:r w:rsidR="003A7422">
        <w:t xml:space="preserve"> other </w:t>
      </w:r>
      <w:r w:rsidR="00D909B7">
        <w:t>idiosy</w:t>
      </w:r>
      <w:r>
        <w:t>ncrasies</w:t>
      </w:r>
      <w:r w:rsidR="003A7422">
        <w:t xml:space="preserve"> </w:t>
      </w:r>
      <w:r>
        <w:t xml:space="preserve">that </w:t>
      </w:r>
      <w:r w:rsidR="004828F2">
        <w:t xml:space="preserve">helped to crystallize </w:t>
      </w:r>
      <w:r w:rsidR="00D909B7">
        <w:t xml:space="preserve">Kaczynski’s linguistic </w:t>
      </w:r>
      <w:r>
        <w:t>fingerprint</w:t>
      </w:r>
      <w:r w:rsidR="005B7E62">
        <w:t>.</w:t>
      </w:r>
      <w:r>
        <w:t xml:space="preserve"> For example, he always wrote “pre-industrial” with a hyphen, but “smallscale” without. In various places, the T-Docs also contained the British spelling of certain words: </w:t>
      </w:r>
      <w:r w:rsidR="00C11FDC">
        <w:t>“</w:t>
      </w:r>
      <w:r w:rsidRPr="00C11FDC">
        <w:t>analyse</w:t>
      </w:r>
      <w:r w:rsidR="00C11FDC" w:rsidRPr="00C11FDC">
        <w:t>,” “</w:t>
      </w:r>
      <w:r w:rsidRPr="00C11FDC">
        <w:t>licence,</w:t>
      </w:r>
      <w:r w:rsidR="00C11FDC" w:rsidRPr="00C11FDC">
        <w:t>”</w:t>
      </w:r>
      <w:r w:rsidRPr="00C11FDC">
        <w:t xml:space="preserve"> </w:t>
      </w:r>
      <w:r w:rsidR="00C11FDC" w:rsidRPr="00C11FDC">
        <w:t>“</w:t>
      </w:r>
      <w:r w:rsidRPr="00C11FDC">
        <w:t>wilfully.</w:t>
      </w:r>
      <w:r w:rsidR="00C11FDC" w:rsidRPr="00C11FDC">
        <w:t>”</w:t>
      </w:r>
      <w:r>
        <w:t xml:space="preserve"> Kaczynski also consistently spelled </w:t>
      </w:r>
      <w:r w:rsidR="00C11FDC">
        <w:t>“</w:t>
      </w:r>
      <w:r w:rsidRPr="00C11FDC">
        <w:t>instalment</w:t>
      </w:r>
      <w:r w:rsidR="00C11FDC">
        <w:t xml:space="preserve">” </w:t>
      </w:r>
      <w:r>
        <w:t>with only one “l” (which used to be a proper British spelling, but is now quite rare</w:t>
      </w:r>
      <w:r w:rsidR="00C11FDC">
        <w:t xml:space="preserve"> and generally considered nonstandard</w:t>
      </w:r>
      <w:r>
        <w:t>).</w:t>
      </w:r>
      <w:r w:rsidR="005B7E62">
        <w:t xml:space="preserve"> These linguistic oddities, perhaps unexceptional in their own right, took on much graver implications when they were discovered consistently throughout the U-Docs as well</w:t>
      </w:r>
      <w:r w:rsidR="00BC0639">
        <w:rPr>
          <w:rStyle w:val="FootnoteReference"/>
        </w:rPr>
        <w:footnoteReference w:id="14"/>
      </w:r>
      <w:r w:rsidR="005B7E62">
        <w:t>.</w:t>
      </w:r>
    </w:p>
    <w:p w14:paraId="5DEB6333" w14:textId="7D165F0B" w:rsidR="00805087" w:rsidRDefault="005B7E62" w:rsidP="0046073E">
      <w:pPr>
        <w:spacing w:line="480" w:lineRule="auto"/>
        <w:ind w:firstLine="720"/>
      </w:pPr>
      <w:r>
        <w:t>The histories of these words and how they came to acquire their alternative spellings are long, complex, and sometimes thorny to sort out. “</w:t>
      </w:r>
      <w:r w:rsidR="0093126A" w:rsidRPr="005B7E62">
        <w:t>Analyse</w:t>
      </w:r>
      <w:r>
        <w:t>,”</w:t>
      </w:r>
      <w:r w:rsidR="0093126A">
        <w:t xml:space="preserve"> in particular</w:t>
      </w:r>
      <w:r>
        <w:t xml:space="preserve">, has an incredibly </w:t>
      </w:r>
      <w:r w:rsidR="0093126A">
        <w:t xml:space="preserve">complicated and disputed </w:t>
      </w:r>
      <w:r>
        <w:t>story</w:t>
      </w:r>
      <w:r w:rsidR="0093126A">
        <w:t>.</w:t>
      </w:r>
      <w:r w:rsidR="00805087">
        <w:t xml:space="preserve"> </w:t>
      </w:r>
      <w:r w:rsidR="0093126A">
        <w:t>S</w:t>
      </w:r>
      <w:r w:rsidR="00DB725A">
        <w:t xml:space="preserve">ome sources claim that the English </w:t>
      </w:r>
      <w:r w:rsidR="00C11FDC">
        <w:t>“</w:t>
      </w:r>
      <w:r w:rsidR="00DB725A" w:rsidRPr="00C11FDC">
        <w:t>analyse</w:t>
      </w:r>
      <w:r w:rsidR="00C11FDC">
        <w:t>”</w:t>
      </w:r>
      <w:r w:rsidR="00DB725A">
        <w:t xml:space="preserve"> </w:t>
      </w:r>
      <w:r w:rsidR="006911FF">
        <w:t>comes</w:t>
      </w:r>
      <w:r w:rsidR="00DB725A">
        <w:t xml:space="preserve"> from the French </w:t>
      </w:r>
      <w:r w:rsidR="00DB725A" w:rsidRPr="00DB725A">
        <w:rPr>
          <w:i/>
        </w:rPr>
        <w:t>analyser</w:t>
      </w:r>
      <w:r w:rsidR="006911FF">
        <w:t xml:space="preserve"> (meaning “analyze”). </w:t>
      </w:r>
      <w:r w:rsidR="006911FF" w:rsidRPr="006911FF">
        <w:rPr>
          <w:i/>
        </w:rPr>
        <w:t>Analyser</w:t>
      </w:r>
      <w:r w:rsidR="006911FF">
        <w:t xml:space="preserve"> itself is</w:t>
      </w:r>
      <w:r w:rsidR="00DB725A">
        <w:t xml:space="preserve"> a word formed via haplology (t</w:t>
      </w:r>
      <w:r w:rsidR="00DB725A" w:rsidRPr="00DB725A">
        <w:t>he loss of</w:t>
      </w:r>
      <w:r w:rsidR="00D31511">
        <w:t xml:space="preserve"> syllables when they are adjacent to other syllables that are identical or similar</w:t>
      </w:r>
      <w:r w:rsidR="00DB725A">
        <w:t xml:space="preserve">) from </w:t>
      </w:r>
      <w:r w:rsidR="0093126A">
        <w:t xml:space="preserve">the original </w:t>
      </w:r>
      <w:r w:rsidR="0093126A" w:rsidRPr="0093126A">
        <w:rPr>
          <w:i/>
        </w:rPr>
        <w:t>analysise</w:t>
      </w:r>
      <w:r w:rsidR="00D31511">
        <w:rPr>
          <w:i/>
        </w:rPr>
        <w:t>r</w:t>
      </w:r>
      <w:r w:rsidR="0093126A">
        <w:t xml:space="preserve">. </w:t>
      </w:r>
      <w:r w:rsidR="006911FF">
        <w:t>According to the OED, however</w:t>
      </w:r>
      <w:r w:rsidR="0093126A">
        <w:t xml:space="preserve">, the first appearance of </w:t>
      </w:r>
      <w:r w:rsidR="0093126A" w:rsidRPr="0093126A">
        <w:rPr>
          <w:i/>
        </w:rPr>
        <w:t>analyser</w:t>
      </w:r>
      <w:r w:rsidR="0093126A">
        <w:t xml:space="preserve"> in French </w:t>
      </w:r>
      <w:r w:rsidR="006911FF">
        <w:t>was</w:t>
      </w:r>
      <w:r w:rsidR="0093126A">
        <w:t xml:space="preserve"> considerably later than that of </w:t>
      </w:r>
      <w:r w:rsidR="008444BF">
        <w:t>“</w:t>
      </w:r>
      <w:r w:rsidR="0093126A" w:rsidRPr="008444BF">
        <w:t>analyse</w:t>
      </w:r>
      <w:r w:rsidR="008444BF">
        <w:t>”</w:t>
      </w:r>
      <w:r w:rsidR="0093126A">
        <w:t xml:space="preserve"> in English</w:t>
      </w:r>
      <w:r w:rsidR="00EA2A0A">
        <w:t>.</w:t>
      </w:r>
      <w:r w:rsidR="0093126A">
        <w:t xml:space="preserve"> </w:t>
      </w:r>
      <w:r w:rsidR="006911FF">
        <w:t>In reality,</w:t>
      </w:r>
      <w:r w:rsidR="00463032">
        <w:t xml:space="preserve"> the</w:t>
      </w:r>
      <w:r w:rsidR="006911FF" w:rsidRPr="006911FF">
        <w:rPr>
          <w:i/>
        </w:rPr>
        <w:t xml:space="preserve"> </w:t>
      </w:r>
      <w:r w:rsidR="00C11FDC">
        <w:t>English “</w:t>
      </w:r>
      <w:r w:rsidR="006911FF" w:rsidRPr="00C11FDC">
        <w:t>analyse</w:t>
      </w:r>
      <w:r w:rsidR="00C11FDC">
        <w:t>”</w:t>
      </w:r>
      <w:r w:rsidR="006911FF">
        <w:t xml:space="preserve"> most likely came directly from </w:t>
      </w:r>
      <w:r w:rsidR="00C11FDC">
        <w:t>“</w:t>
      </w:r>
      <w:r w:rsidR="006911FF" w:rsidRPr="00C11FDC">
        <w:t>analysis</w:t>
      </w:r>
      <w:r w:rsidR="006911FF">
        <w:t>,</w:t>
      </w:r>
      <w:r w:rsidR="00C11FDC">
        <w:t>”</w:t>
      </w:r>
      <w:r w:rsidR="006911FF">
        <w:t xml:space="preserve"> a word derived from the Greek noun </w:t>
      </w:r>
      <w:r w:rsidR="006911FF" w:rsidRPr="003B0625">
        <w:rPr>
          <w:i/>
        </w:rPr>
        <w:t>λύσις</w:t>
      </w:r>
      <w:r w:rsidR="006911FF">
        <w:t>, or</w:t>
      </w:r>
      <w:r w:rsidR="006911FF" w:rsidRPr="003B0625">
        <w:t xml:space="preserve"> </w:t>
      </w:r>
      <w:r w:rsidR="006911FF" w:rsidRPr="003B0625">
        <w:rPr>
          <w:i/>
        </w:rPr>
        <w:t>lysis</w:t>
      </w:r>
      <w:r w:rsidR="00BC0639">
        <w:t>, meaning “release</w:t>
      </w:r>
      <w:r w:rsidR="006911FF">
        <w:t>”</w:t>
      </w:r>
      <w:r w:rsidR="00BC0639">
        <w:rPr>
          <w:rStyle w:val="FootnoteReference"/>
        </w:rPr>
        <w:footnoteReference w:id="15"/>
      </w:r>
      <w:r w:rsidR="00C84FF1">
        <w:t>.</w:t>
      </w:r>
    </w:p>
    <w:p w14:paraId="0BC1B246" w14:textId="55B522F6" w:rsidR="00C11FDC" w:rsidRDefault="00463032" w:rsidP="0046073E">
      <w:pPr>
        <w:spacing w:line="480" w:lineRule="auto"/>
        <w:ind w:firstLine="720"/>
      </w:pPr>
      <w:r>
        <w:t xml:space="preserve">Why, then, some may ask, is the word </w:t>
      </w:r>
      <w:r w:rsidR="00C11FDC">
        <w:t>“</w:t>
      </w:r>
      <w:r w:rsidR="006911FF" w:rsidRPr="00C11FDC">
        <w:t>analyse</w:t>
      </w:r>
      <w:r w:rsidR="00C11FDC">
        <w:t xml:space="preserve">” </w:t>
      </w:r>
      <w:r w:rsidR="006911FF">
        <w:t xml:space="preserve">and not </w:t>
      </w:r>
      <w:r w:rsidR="00C11FDC">
        <w:t>“a</w:t>
      </w:r>
      <w:r w:rsidR="006911FF" w:rsidRPr="00C11FDC">
        <w:t>nalysise</w:t>
      </w:r>
      <w:r w:rsidR="00C11FDC">
        <w:t>”</w:t>
      </w:r>
      <w:r>
        <w:t>? The answer</w:t>
      </w:r>
      <w:r w:rsidR="00C11FDC">
        <w:t xml:space="preserve"> </w:t>
      </w:r>
      <w:r w:rsidR="00EA2A0A">
        <w:t xml:space="preserve">is that the verb forms of many English nouns </w:t>
      </w:r>
      <w:r w:rsidR="00C11FDC">
        <w:t>ending in -</w:t>
      </w:r>
      <w:r w:rsidR="00C11FDC" w:rsidRPr="00C11FDC">
        <w:rPr>
          <w:i/>
        </w:rPr>
        <w:t>lys</w:t>
      </w:r>
      <w:r w:rsidR="00EA2A0A">
        <w:rPr>
          <w:i/>
        </w:rPr>
        <w:t>is</w:t>
      </w:r>
      <w:r w:rsidR="00C11FDC">
        <w:t xml:space="preserve"> </w:t>
      </w:r>
      <w:r w:rsidR="006911FF">
        <w:t>actually did enter via</w:t>
      </w:r>
      <w:r w:rsidR="00C11FDC">
        <w:t xml:space="preserve"> French, and in these cases haplology</w:t>
      </w:r>
      <w:r w:rsidR="006911FF">
        <w:t xml:space="preserve"> </w:t>
      </w:r>
      <w:r w:rsidR="00C11FDC">
        <w:t>reduced -</w:t>
      </w:r>
      <w:r w:rsidR="00C11FDC" w:rsidRPr="00C11FDC">
        <w:rPr>
          <w:i/>
        </w:rPr>
        <w:t>lysise</w:t>
      </w:r>
      <w:r w:rsidR="009A2BE9">
        <w:rPr>
          <w:i/>
        </w:rPr>
        <w:t>r</w:t>
      </w:r>
      <w:r w:rsidR="00C11FDC">
        <w:t xml:space="preserve"> to -</w:t>
      </w:r>
      <w:r w:rsidR="00C11FDC" w:rsidRPr="00C11FDC">
        <w:rPr>
          <w:i/>
        </w:rPr>
        <w:t>lyse</w:t>
      </w:r>
      <w:r w:rsidR="009A2BE9">
        <w:rPr>
          <w:i/>
        </w:rPr>
        <w:t>r</w:t>
      </w:r>
      <w:r w:rsidR="009A2BE9">
        <w:t xml:space="preserve">, handing down to us the latter, shortened suffix, minus the final “r” </w:t>
      </w:r>
      <w:r w:rsidR="00B25753">
        <w:t>(e.g.,</w:t>
      </w:r>
      <w:r w:rsidR="009A2BE9">
        <w:t xml:space="preserve"> “paralyse,” from </w:t>
      </w:r>
      <w:r w:rsidR="009A2BE9" w:rsidRPr="009A2BE9">
        <w:rPr>
          <w:i/>
        </w:rPr>
        <w:t>paralyser</w:t>
      </w:r>
      <w:r w:rsidR="009A2BE9">
        <w:t>,</w:t>
      </w:r>
      <w:r w:rsidR="00C11FDC">
        <w:t xml:space="preserve"> from </w:t>
      </w:r>
      <w:r w:rsidR="00C11FDC" w:rsidRPr="00C11FDC">
        <w:rPr>
          <w:i/>
        </w:rPr>
        <w:t>paralys</w:t>
      </w:r>
      <w:r w:rsidR="009A2BE9">
        <w:rPr>
          <w:i/>
        </w:rPr>
        <w:t>is</w:t>
      </w:r>
      <w:r w:rsidR="00C11FDC" w:rsidRPr="00C11FDC">
        <w:rPr>
          <w:i/>
        </w:rPr>
        <w:t>er</w:t>
      </w:r>
      <w:r w:rsidR="00B25753">
        <w:t>)</w:t>
      </w:r>
      <w:r w:rsidR="00C84FF1">
        <w:rPr>
          <w:rStyle w:val="FootnoteReference"/>
        </w:rPr>
        <w:footnoteReference w:id="16"/>
      </w:r>
      <w:r w:rsidR="00C11FDC">
        <w:t xml:space="preserve">. </w:t>
      </w:r>
      <w:r w:rsidR="00805087">
        <w:t>Thus,</w:t>
      </w:r>
      <w:r>
        <w:t xml:space="preserve"> </w:t>
      </w:r>
      <w:r w:rsidR="00805087">
        <w:t xml:space="preserve">it would seem reasonable to assume that </w:t>
      </w:r>
      <w:r w:rsidRPr="00463032">
        <w:rPr>
          <w:i/>
        </w:rPr>
        <w:t>analys</w:t>
      </w:r>
      <w:r>
        <w:rPr>
          <w:i/>
        </w:rPr>
        <w:t>e</w:t>
      </w:r>
      <w:r w:rsidR="004C29F0">
        <w:t>, too,</w:t>
      </w:r>
      <w:r>
        <w:rPr>
          <w:i/>
        </w:rPr>
        <w:t xml:space="preserve"> </w:t>
      </w:r>
      <w:r w:rsidR="00805087">
        <w:t>underwent</w:t>
      </w:r>
      <w:r w:rsidR="00EA2A0A">
        <w:t xml:space="preserve"> </w:t>
      </w:r>
      <w:r w:rsidR="004C29F0">
        <w:t>this</w:t>
      </w:r>
      <w:r w:rsidR="00EA2A0A">
        <w:t xml:space="preserve"> process. </w:t>
      </w:r>
      <w:r w:rsidR="00B25753">
        <w:t xml:space="preserve">Oddly enough, though, it didn’t; </w:t>
      </w:r>
      <w:r w:rsidR="008444BF">
        <w:t>instead, speakers of English, trying to coin a verb form for “analysis,” mimicked that process to give us our modern-day “analyse</w:t>
      </w:r>
      <w:r w:rsidR="00B25753">
        <w:t>.</w:t>
      </w:r>
      <w:r w:rsidR="008444BF">
        <w:t>”</w:t>
      </w:r>
      <w:r w:rsidR="00EA2A0A">
        <w:t xml:space="preserve"> </w:t>
      </w:r>
      <w:r w:rsidR="00B25753">
        <w:t>The end result for speakers of modern English has been a convenient s</w:t>
      </w:r>
      <w:r w:rsidR="00EA2A0A">
        <w:t>et of parallel words</w:t>
      </w:r>
      <w:r w:rsidR="00B25753">
        <w:t xml:space="preserve"> whose consistency</w:t>
      </w:r>
      <w:r w:rsidR="00EA2A0A">
        <w:t xml:space="preserve"> belies their </w:t>
      </w:r>
      <w:r w:rsidR="00B25753">
        <w:t>divergent</w:t>
      </w:r>
      <w:r w:rsidR="00EA2A0A">
        <w:t xml:space="preserve"> pasts.</w:t>
      </w:r>
      <w:r w:rsidR="00B25753">
        <w:t xml:space="preserve"> </w:t>
      </w:r>
    </w:p>
    <w:p w14:paraId="38B087BF" w14:textId="77777777" w:rsidR="00272494" w:rsidRDefault="009B566B" w:rsidP="0046073E">
      <w:pPr>
        <w:spacing w:line="480" w:lineRule="auto"/>
        <w:ind w:firstLine="720"/>
      </w:pPr>
      <w:r>
        <w:t xml:space="preserve">At what point, though, did </w:t>
      </w:r>
      <w:r w:rsidR="00805087">
        <w:t>-</w:t>
      </w:r>
      <w:r w:rsidR="00805087" w:rsidRPr="00805087">
        <w:rPr>
          <w:i/>
        </w:rPr>
        <w:t>lyse</w:t>
      </w:r>
      <w:r w:rsidR="00805087">
        <w:t xml:space="preserve"> words</w:t>
      </w:r>
      <w:r>
        <w:t xml:space="preserve"> became -</w:t>
      </w:r>
      <w:r w:rsidRPr="009B566B">
        <w:rPr>
          <w:i/>
        </w:rPr>
        <w:t>lyze</w:t>
      </w:r>
      <w:r>
        <w:t>? What explain</w:t>
      </w:r>
      <w:r w:rsidR="00DB5677">
        <w:t>s</w:t>
      </w:r>
      <w:r>
        <w:t xml:space="preserve"> the difference between the British and American spellings? </w:t>
      </w:r>
      <w:r w:rsidR="00CF1824">
        <w:t>In the case of “analyse,”</w:t>
      </w:r>
      <w:r w:rsidR="00272494">
        <w:t xml:space="preserve"> at least,</w:t>
      </w:r>
      <w:r w:rsidR="00CF1824">
        <w:t xml:space="preserve"> it seems that “analyze” was a commonly accepted spelling from the start; earlier forms, dating back to the 15</w:t>
      </w:r>
      <w:r w:rsidR="00CF1824" w:rsidRPr="00CF1824">
        <w:rPr>
          <w:vertAlign w:val="superscript"/>
        </w:rPr>
        <w:t>th</w:t>
      </w:r>
      <w:r w:rsidR="00CF1824">
        <w:t xml:space="preserve"> and 16</w:t>
      </w:r>
      <w:r w:rsidR="00CF1824" w:rsidRPr="00CF1824">
        <w:rPr>
          <w:vertAlign w:val="superscript"/>
        </w:rPr>
        <w:t>th</w:t>
      </w:r>
      <w:r w:rsidR="00CF1824">
        <w:t xml:space="preserve"> century (presumably before the “analyse”/ “paralyse” parallel was recognized) are listed as “analuze,” “analise,” and “analize.” Here, the French influence seems indisputable, as </w:t>
      </w:r>
      <w:r w:rsidR="00802941">
        <w:t>both the</w:t>
      </w:r>
      <w:r w:rsidR="00CF1824">
        <w:t xml:space="preserve"> noun “analysis” and its Greek root would have been pronounced </w:t>
      </w:r>
      <w:r w:rsidR="00802941">
        <w:t xml:space="preserve">with the “s” sound, </w:t>
      </w:r>
      <w:r w:rsidR="00272494">
        <w:t xml:space="preserve">and it is only the French verb form, </w:t>
      </w:r>
      <w:r w:rsidR="00272494" w:rsidRPr="00272494">
        <w:rPr>
          <w:i/>
        </w:rPr>
        <w:t>analyser</w:t>
      </w:r>
      <w:r w:rsidR="00272494">
        <w:t xml:space="preserve">, that could have conferred the phonetic “z.” Still, it is unclear at what point the </w:t>
      </w:r>
    </w:p>
    <w:p w14:paraId="29E5DA19" w14:textId="0DE8E2E4" w:rsidR="009B566B" w:rsidRDefault="00272494" w:rsidP="0046073E">
      <w:pPr>
        <w:spacing w:line="480" w:lineRule="auto"/>
      </w:pPr>
      <w:r>
        <w:t>-</w:t>
      </w:r>
      <w:r w:rsidRPr="00805087">
        <w:rPr>
          <w:i/>
        </w:rPr>
        <w:t>lyse</w:t>
      </w:r>
      <w:r>
        <w:t xml:space="preserve"> and -</w:t>
      </w:r>
      <w:r w:rsidRPr="009B566B">
        <w:rPr>
          <w:i/>
        </w:rPr>
        <w:t>lyze</w:t>
      </w:r>
      <w:r>
        <w:t xml:space="preserve"> spellings became specific to Brit</w:t>
      </w:r>
      <w:r w:rsidR="009103A3">
        <w:t>ish English and American English. Grammarians often invoke the word’s etymological origins to claim that the -</w:t>
      </w:r>
      <w:r w:rsidR="009103A3" w:rsidRPr="009103A3">
        <w:rPr>
          <w:i/>
        </w:rPr>
        <w:t>lyze</w:t>
      </w:r>
      <w:r>
        <w:t xml:space="preserve"> </w:t>
      </w:r>
      <w:r w:rsidR="009103A3">
        <w:t>spelling is unacceptable, though the phonetic conventions of American Eng</w:t>
      </w:r>
      <w:r w:rsidR="00332CAB">
        <w:t>lish would suggest otherwise</w:t>
      </w:r>
      <w:r w:rsidR="00332CAB">
        <w:rPr>
          <w:rStyle w:val="FootnoteReference"/>
        </w:rPr>
        <w:footnoteReference w:id="17"/>
      </w:r>
      <w:r w:rsidR="00332CAB">
        <w:t>.</w:t>
      </w:r>
    </w:p>
    <w:p w14:paraId="173BB855" w14:textId="56C4EC79" w:rsidR="00AB71B1" w:rsidRDefault="00592400" w:rsidP="0046073E">
      <w:pPr>
        <w:spacing w:line="480" w:lineRule="auto"/>
        <w:ind w:firstLine="720"/>
      </w:pPr>
      <w:r>
        <w:t>“Licence</w:t>
      </w:r>
      <w:r w:rsidR="009103A3">
        <w:t xml:space="preserve">” does not have quite such a storied past. </w:t>
      </w:r>
      <w:r w:rsidR="000E2E48">
        <w:t xml:space="preserve">The word was borrowed directly from the French </w:t>
      </w:r>
      <w:r w:rsidR="000E2E48" w:rsidRPr="000E2E48">
        <w:rPr>
          <w:i/>
        </w:rPr>
        <w:t>licence</w:t>
      </w:r>
      <w:r w:rsidR="000E2E48">
        <w:t xml:space="preserve">, from the Latin </w:t>
      </w:r>
      <w:r w:rsidR="000E2E48" w:rsidRPr="000E2E48">
        <w:rPr>
          <w:i/>
        </w:rPr>
        <w:t>licentia</w:t>
      </w:r>
      <w:r w:rsidR="000E2E48">
        <w:t xml:space="preserve">, from </w:t>
      </w:r>
      <w:r w:rsidR="000E2E48" w:rsidRPr="000E2E48">
        <w:rPr>
          <w:i/>
        </w:rPr>
        <w:t>licēre</w:t>
      </w:r>
      <w:r w:rsidR="000E2E48">
        <w:t xml:space="preserve">, “to be lawful.” </w:t>
      </w:r>
      <w:r w:rsidR="00E93423">
        <w:t xml:space="preserve">In British English, the c-spelling is used to denote the noun and the s-spelling the verb, as is the same with </w:t>
      </w:r>
      <w:r>
        <w:t>“</w:t>
      </w:r>
      <w:r w:rsidR="00E93423" w:rsidRPr="00592400">
        <w:t>practice</w:t>
      </w:r>
      <w:r>
        <w:t>”</w:t>
      </w:r>
      <w:r w:rsidR="00E93423">
        <w:t xml:space="preserve">/ </w:t>
      </w:r>
      <w:r>
        <w:t>“</w:t>
      </w:r>
      <w:r w:rsidR="000E2E48">
        <w:t xml:space="preserve">practise.” </w:t>
      </w:r>
      <w:r w:rsidR="00E93423">
        <w:t xml:space="preserve">American English </w:t>
      </w:r>
      <w:r>
        <w:t>actually employs</w:t>
      </w:r>
      <w:r w:rsidR="00E93423">
        <w:t xml:space="preserve"> </w:t>
      </w:r>
      <w:r>
        <w:t>the</w:t>
      </w:r>
      <w:r w:rsidR="00E93423">
        <w:t xml:space="preserve"> </w:t>
      </w:r>
      <w:r>
        <w:t xml:space="preserve">same </w:t>
      </w:r>
      <w:r w:rsidR="00E93423">
        <w:t xml:space="preserve">distinction </w:t>
      </w:r>
      <w:r>
        <w:t>when the words are pronounced differently, such as</w:t>
      </w:r>
      <w:r w:rsidR="00E93423">
        <w:t xml:space="preserve"> </w:t>
      </w:r>
      <w:r w:rsidR="000E2E48">
        <w:t>“</w:t>
      </w:r>
      <w:r w:rsidR="00E93423" w:rsidRPr="000E2E48">
        <w:t>advice</w:t>
      </w:r>
      <w:r w:rsidR="000E2E48">
        <w:t>”</w:t>
      </w:r>
      <w:r w:rsidR="00E93423">
        <w:t>/</w:t>
      </w:r>
      <w:r w:rsidR="000E2E48">
        <w:t xml:space="preserve"> “</w:t>
      </w:r>
      <w:r w:rsidR="00E93423" w:rsidRPr="000E2E48">
        <w:t>advise</w:t>
      </w:r>
      <w:r w:rsidR="000E2E48">
        <w:t xml:space="preserve">” </w:t>
      </w:r>
      <w:r w:rsidR="00E93423">
        <w:t xml:space="preserve">and </w:t>
      </w:r>
      <w:r w:rsidR="000E2E48">
        <w:t>“</w:t>
      </w:r>
      <w:r w:rsidR="00E93423" w:rsidRPr="000E2E48">
        <w:t>device</w:t>
      </w:r>
      <w:r w:rsidR="000E2E48">
        <w:t>”</w:t>
      </w:r>
      <w:r w:rsidR="00E93423">
        <w:t>/</w:t>
      </w:r>
      <w:r w:rsidR="000E2E48">
        <w:t xml:space="preserve"> “</w:t>
      </w:r>
      <w:r w:rsidR="00E93423" w:rsidRPr="000E2E48">
        <w:t>devise</w:t>
      </w:r>
      <w:r w:rsidR="00E93423">
        <w:t>,</w:t>
      </w:r>
      <w:r w:rsidR="000E2E48">
        <w:t>”</w:t>
      </w:r>
      <w:r w:rsidR="00E93423">
        <w:t xml:space="preserve"> </w:t>
      </w:r>
      <w:r>
        <w:t xml:space="preserve">but fails to do the same when </w:t>
      </w:r>
      <w:r w:rsidR="000E2E48">
        <w:t xml:space="preserve">the pronunciations are identical, as </w:t>
      </w:r>
      <w:r w:rsidR="00D70552">
        <w:t>in “licence”/ “license,</w:t>
      </w:r>
      <w:r w:rsidR="000E2E48">
        <w:t>”</w:t>
      </w:r>
      <w:r w:rsidR="00D70552">
        <w:t xml:space="preserve"> </w:t>
      </w:r>
      <w:r w:rsidR="00B21CAB">
        <w:t xml:space="preserve">usually </w:t>
      </w:r>
      <w:r w:rsidR="00D70552">
        <w:t xml:space="preserve">opting instead for </w:t>
      </w:r>
      <w:r w:rsidR="00875491">
        <w:t xml:space="preserve">a single spelling. It is not quite clear why the </w:t>
      </w:r>
      <w:r w:rsidR="00B21CAB">
        <w:t xml:space="preserve">chosen version </w:t>
      </w:r>
      <w:r w:rsidR="00875491">
        <w:t>in this case was</w:t>
      </w:r>
      <w:r w:rsidR="00B21CAB">
        <w:t xml:space="preserve"> “license,” </w:t>
      </w:r>
      <w:r w:rsidR="00875491">
        <w:t xml:space="preserve">although </w:t>
      </w:r>
      <w:r w:rsidR="00B21CAB">
        <w:t>one might argue th</w:t>
      </w:r>
      <w:r w:rsidR="00AB71B1">
        <w:t xml:space="preserve">at the s-spelling better mirrors </w:t>
      </w:r>
      <w:r w:rsidR="00B21CAB">
        <w:t>Americ</w:t>
      </w:r>
      <w:r w:rsidR="00875491">
        <w:t>an English spelling conventions</w:t>
      </w:r>
      <w:r w:rsidR="008444BF">
        <w:rPr>
          <w:rStyle w:val="FootnoteReference"/>
        </w:rPr>
        <w:footnoteReference w:id="18"/>
      </w:r>
      <w:r w:rsidR="00AE76A2">
        <w:t>.</w:t>
      </w:r>
      <w:r w:rsidR="000E2E48">
        <w:t xml:space="preserve"> </w:t>
      </w:r>
    </w:p>
    <w:p w14:paraId="1A419A05" w14:textId="29F81F7B" w:rsidR="00AD4D7B" w:rsidRDefault="00875491" w:rsidP="0046073E">
      <w:pPr>
        <w:spacing w:line="480" w:lineRule="auto"/>
        <w:ind w:firstLine="720"/>
      </w:pPr>
      <w:r>
        <w:t xml:space="preserve">By the OED’s standards, however, “licence” would have been the proper choice; </w:t>
      </w:r>
      <w:r w:rsidR="000E2E48">
        <w:t>the spelling “license</w:t>
      </w:r>
      <w:r>
        <w:t>,</w:t>
      </w:r>
      <w:r w:rsidR="000E2E48">
        <w:t>”</w:t>
      </w:r>
      <w:r>
        <w:t xml:space="preserve"> it claims,</w:t>
      </w:r>
      <w:r w:rsidR="000E2E48">
        <w:t xml:space="preserve"> has “no justification in the case of the noun,” and </w:t>
      </w:r>
      <w:r>
        <w:t xml:space="preserve">is </w:t>
      </w:r>
      <w:r w:rsidR="000E2E48">
        <w:t xml:space="preserve">only </w:t>
      </w:r>
      <w:r>
        <w:t>acceptable</w:t>
      </w:r>
      <w:r w:rsidR="000E2E48">
        <w:t xml:space="preserve"> in the case of the verb due to </w:t>
      </w:r>
      <w:r w:rsidR="00893B20">
        <w:t xml:space="preserve">the </w:t>
      </w:r>
      <w:r w:rsidR="000E2E48">
        <w:t xml:space="preserve">aforementioned </w:t>
      </w:r>
      <w:r w:rsidR="00893B20">
        <w:t xml:space="preserve">parallel with </w:t>
      </w:r>
      <w:r w:rsidR="000E2E48">
        <w:t>“advi</w:t>
      </w:r>
      <w:r w:rsidR="00893B20">
        <w:t xml:space="preserve">ce”/ “advise,” a pairing that is </w:t>
      </w:r>
      <w:r w:rsidR="000E2E48">
        <w:t xml:space="preserve">considered permissible because </w:t>
      </w:r>
      <w:r w:rsidR="00893B20">
        <w:t>of the</w:t>
      </w:r>
      <w:r w:rsidR="000E2E48">
        <w:t xml:space="preserve"> “phonetic distinction of historical origin</w:t>
      </w:r>
      <w:r w:rsidR="00893B20">
        <w:t>” between the noun and the verb</w:t>
      </w:r>
      <w:r w:rsidR="00A4187D">
        <w:rPr>
          <w:rStyle w:val="FootnoteReference"/>
        </w:rPr>
        <w:footnoteReference w:id="19"/>
      </w:r>
      <w:r w:rsidR="00893B20">
        <w:t>.</w:t>
      </w:r>
      <w:r w:rsidR="00AB71B1">
        <w:t xml:space="preserve"> Thus, it</w:t>
      </w:r>
      <w:r w:rsidR="00893B20">
        <w:t xml:space="preserve"> appears that only the</w:t>
      </w:r>
      <w:r>
        <w:t xml:space="preserve"> British spelling convention </w:t>
      </w:r>
      <w:r w:rsidR="00893B20">
        <w:t>has received the approbation</w:t>
      </w:r>
      <w:r w:rsidR="00AE76A2">
        <w:t xml:space="preserve"> of the establishment</w:t>
      </w:r>
      <w:r w:rsidR="00893B20">
        <w:t xml:space="preserve">; we Americans are, unfortunately, hopelessly degenerate. </w:t>
      </w:r>
    </w:p>
    <w:p w14:paraId="489A5684" w14:textId="77777777" w:rsidR="008444BF" w:rsidRDefault="00AE76A2" w:rsidP="0046073E">
      <w:pPr>
        <w:spacing w:line="480" w:lineRule="auto"/>
        <w:ind w:firstLine="720"/>
      </w:pPr>
      <w:r>
        <w:t xml:space="preserve">Finally, Kaczynski’s spelling of “wilfuly” and “instalment” again adheres to </w:t>
      </w:r>
      <w:r w:rsidR="00CA28D0">
        <w:t xml:space="preserve">a British convention—this time, </w:t>
      </w:r>
      <w:r w:rsidR="008444BF">
        <w:t>the use of only</w:t>
      </w:r>
      <w:r>
        <w:t xml:space="preserve"> a single “l” when words normally spelled </w:t>
      </w:r>
    </w:p>
    <w:p w14:paraId="2FFE24E8" w14:textId="1FADEDC4" w:rsidR="00AE76A2" w:rsidRDefault="00AE76A2" w:rsidP="0046073E">
      <w:pPr>
        <w:spacing w:line="480" w:lineRule="auto"/>
      </w:pPr>
      <w:r>
        <w:t>-</w:t>
      </w:r>
      <w:r w:rsidRPr="00AE76A2">
        <w:rPr>
          <w:i/>
        </w:rPr>
        <w:t>ll</w:t>
      </w:r>
      <w:r>
        <w:t xml:space="preserve"> </w:t>
      </w:r>
      <w:r w:rsidR="00CA28D0">
        <w:t>are used to form the main part (</w:t>
      </w:r>
      <w:r>
        <w:t xml:space="preserve">not the prefix or suffix) of a new compound (e.g., “wilful,” “skilful,” “enrolment”). </w:t>
      </w:r>
      <w:r w:rsidR="00332CAB">
        <w:t>Although both “wilful” and “willful” have been around for centuries, “willful” only began gaining popularity in the 1830s, and did not surpass “wilful” in frequency until more than a century later</w:t>
      </w:r>
      <w:r w:rsidR="00A4187D">
        <w:rPr>
          <w:rStyle w:val="FootnoteReference"/>
        </w:rPr>
        <w:footnoteReference w:id="20"/>
      </w:r>
      <w:r w:rsidR="00332CAB">
        <w:t xml:space="preserve">. It is worth noting that the </w:t>
      </w:r>
      <w:r w:rsidR="00974850">
        <w:t>rise</w:t>
      </w:r>
      <w:r w:rsidR="00332CAB">
        <w:t xml:space="preserve"> in </w:t>
      </w:r>
      <w:r w:rsidR="00974850">
        <w:t>popularity</w:t>
      </w:r>
      <w:r w:rsidR="00332CAB">
        <w:t xml:space="preserve"> of the American spelling more or less coincided with the publication of Noah Webster’s </w:t>
      </w:r>
      <w:r w:rsidR="00974850">
        <w:t xml:space="preserve">famous </w:t>
      </w:r>
      <w:r w:rsidR="00332CAB" w:rsidRPr="00332CAB">
        <w:rPr>
          <w:i/>
        </w:rPr>
        <w:t>American Dictionary of the English Language</w:t>
      </w:r>
      <w:r w:rsidR="00974850">
        <w:rPr>
          <w:i/>
        </w:rPr>
        <w:t xml:space="preserve"> </w:t>
      </w:r>
      <w:r w:rsidR="00974850">
        <w:t>in 1828</w:t>
      </w:r>
      <w:r w:rsidR="00332CAB">
        <w:t xml:space="preserve">, which contained </w:t>
      </w:r>
      <w:r w:rsidR="00974850">
        <w:t>only the double-l</w:t>
      </w:r>
      <w:r w:rsidR="006070A9">
        <w:t xml:space="preserve"> “willful,” and not its sister “wilful.” </w:t>
      </w:r>
      <w:r w:rsidR="00974850">
        <w:t>A similar trend can be observed for “analyze” and “license,” both of which were included in the dictionary to the exclusion of their British counterparts, and which both began to climb in popularity around the mid-19</w:t>
      </w:r>
      <w:r w:rsidR="00974850" w:rsidRPr="00974850">
        <w:rPr>
          <w:vertAlign w:val="superscript"/>
        </w:rPr>
        <w:t>th</w:t>
      </w:r>
      <w:r w:rsidR="00974850">
        <w:t xml:space="preserve"> century</w:t>
      </w:r>
      <w:r w:rsidR="00873301">
        <w:rPr>
          <w:rStyle w:val="FootnoteReference"/>
        </w:rPr>
        <w:footnoteReference w:id="21"/>
      </w:r>
      <w:r w:rsidR="00974850">
        <w:t>. Although other factors were</w:t>
      </w:r>
      <w:r w:rsidR="00EF2695">
        <w:t xml:space="preserve"> surely at work, the fact that this</w:t>
      </w:r>
      <w:r w:rsidR="00974850">
        <w:t xml:space="preserve"> dictionary </w:t>
      </w:r>
      <w:r w:rsidR="00EF2695">
        <w:t>(</w:t>
      </w:r>
      <w:r w:rsidR="00974850">
        <w:t xml:space="preserve">published </w:t>
      </w:r>
      <w:r w:rsidR="00873301">
        <w:t xml:space="preserve">by an </w:t>
      </w:r>
      <w:r w:rsidR="00974850">
        <w:t xml:space="preserve">American </w:t>
      </w:r>
      <w:r w:rsidR="00873301">
        <w:t>well-known for his patriotism</w:t>
      </w:r>
      <w:r w:rsidR="00EF2695">
        <w:t xml:space="preserve">) </w:t>
      </w:r>
      <w:r w:rsidR="006070A9">
        <w:t xml:space="preserve">purposefully excluded certain spellings </w:t>
      </w:r>
      <w:r w:rsidR="00974850">
        <w:t xml:space="preserve">again raises important questions about the mechanisms of linguistic change in the context of </w:t>
      </w:r>
      <w:r w:rsidR="006070A9">
        <w:t>politics and culture</w:t>
      </w:r>
      <w:r w:rsidR="00974850">
        <w:t>.</w:t>
      </w:r>
    </w:p>
    <w:p w14:paraId="332848D4" w14:textId="42511179" w:rsidR="006F52DC" w:rsidRPr="00AE76A2" w:rsidRDefault="006F52DC" w:rsidP="0046073E">
      <w:pPr>
        <w:spacing w:line="480" w:lineRule="auto"/>
        <w:ind w:firstLine="720"/>
      </w:pPr>
      <w:r>
        <w:t>These idiosyncrasies</w:t>
      </w:r>
      <w:r w:rsidR="00CC7EE2">
        <w:t xml:space="preserve">, trivial though they may have seemed, in </w:t>
      </w:r>
      <w:r w:rsidR="005B7E62">
        <w:t>fact</w:t>
      </w:r>
      <w:r w:rsidR="00CC7EE2">
        <w:t xml:space="preserve"> </w:t>
      </w:r>
      <w:r w:rsidR="005B7E62">
        <w:t>each constituted a</w:t>
      </w:r>
      <w:r w:rsidR="00CC7EE2">
        <w:t xml:space="preserve"> damning piece of evidence against Ted Kaczynski. </w:t>
      </w:r>
      <w:r w:rsidR="00C56591">
        <w:t>When co</w:t>
      </w:r>
      <w:r w:rsidR="005B7E62">
        <w:t xml:space="preserve">mpounded with the </w:t>
      </w:r>
      <w:r w:rsidR="00911BD2">
        <w:t xml:space="preserve">weight of </w:t>
      </w:r>
      <w:r w:rsidR="005B7E62">
        <w:t>“eating your</w:t>
      </w:r>
      <w:r>
        <w:t xml:space="preserve"> </w:t>
      </w:r>
      <w:r w:rsidR="005B7E62">
        <w:t>cake and having it too,” “cool-headed logicians,” and many, many other clues</w:t>
      </w:r>
      <w:r w:rsidR="00911BD2">
        <w:t xml:space="preserve">—including bizarre references found in both the U-Docs and T-Docs to extremely specific subjects, such as sexual repression during the Victorian era and electrodes being implanted in people’s brains—Ted Kaczynski was cornered. He pleaded guilty on January </w:t>
      </w:r>
      <w:r w:rsidR="00C56591">
        <w:t>22</w:t>
      </w:r>
      <w:r w:rsidR="00C56591" w:rsidRPr="00C56591">
        <w:rPr>
          <w:vertAlign w:val="superscript"/>
        </w:rPr>
        <w:t>nd</w:t>
      </w:r>
      <w:r w:rsidR="00C56591">
        <w:t>, 1998</w:t>
      </w:r>
      <w:r w:rsidR="00EF2695">
        <w:t xml:space="preserve"> </w:t>
      </w:r>
      <w:r w:rsidR="00EF2695">
        <w:rPr>
          <w:rStyle w:val="FootnoteReference"/>
        </w:rPr>
        <w:footnoteReference w:id="22"/>
      </w:r>
      <w:r w:rsidR="00EF2695">
        <w:t>.</w:t>
      </w:r>
    </w:p>
    <w:p w14:paraId="21531E9E" w14:textId="2EB4013F" w:rsidR="00062486" w:rsidRDefault="00C56591" w:rsidP="0046073E">
      <w:pPr>
        <w:spacing w:line="480" w:lineRule="auto"/>
        <w:ind w:firstLine="720"/>
      </w:pPr>
      <w:r>
        <w:t xml:space="preserve">Although most cases in forensic linguistics </w:t>
      </w:r>
      <w:r w:rsidR="00EF2695">
        <w:t>don’t involve such</w:t>
      </w:r>
      <w:r>
        <w:t xml:space="preserve"> thrilling</w:t>
      </w:r>
      <w:r w:rsidR="00EF2695">
        <w:t xml:space="preserve"> circumstances</w:t>
      </w:r>
      <w:r>
        <w:t xml:space="preserve">, </w:t>
      </w:r>
      <w:r w:rsidR="006604F2">
        <w:t xml:space="preserve">the Unabomber </w:t>
      </w:r>
      <w:r w:rsidR="00EF2695">
        <w:t>incident was an exception</w:t>
      </w:r>
      <w:r w:rsidR="000F74B6">
        <w:t xml:space="preserve">. In the end, Ted Kaczynski was </w:t>
      </w:r>
      <w:r w:rsidR="003176E3">
        <w:t>betrayed</w:t>
      </w:r>
      <w:r w:rsidR="000F74B6">
        <w:t xml:space="preserve"> not by </w:t>
      </w:r>
      <w:r w:rsidR="003176E3">
        <w:t>a lock of hair or a sliver of fingernail</w:t>
      </w:r>
      <w:r w:rsidR="00EF2695">
        <w:t>,</w:t>
      </w:r>
      <w:r w:rsidR="003176E3">
        <w:t xml:space="preserve"> </w:t>
      </w:r>
      <w:r w:rsidR="000F74B6">
        <w:t xml:space="preserve">but by his linguistic fingerprint, that </w:t>
      </w:r>
      <w:r w:rsidR="00577674">
        <w:t xml:space="preserve">unmistakable </w:t>
      </w:r>
      <w:r w:rsidR="0046091A">
        <w:t>token</w:t>
      </w:r>
      <w:r w:rsidR="00577674">
        <w:t xml:space="preserve"> of his upb</w:t>
      </w:r>
      <w:r w:rsidR="002719A3">
        <w:t xml:space="preserve">ringing </w:t>
      </w:r>
      <w:r w:rsidR="00577674">
        <w:t xml:space="preserve">and his beliefs. </w:t>
      </w:r>
      <w:r w:rsidR="003B6C4D">
        <w:t>In a way</w:t>
      </w:r>
      <w:r w:rsidR="00BE76E2">
        <w:t xml:space="preserve">, we </w:t>
      </w:r>
      <w:r w:rsidR="002719A3">
        <w:t xml:space="preserve">owe Kaczynski’s arrest </w:t>
      </w:r>
      <w:r w:rsidR="003B6C4D">
        <w:t xml:space="preserve">more than anything </w:t>
      </w:r>
      <w:r w:rsidR="002719A3">
        <w:t>to the</w:t>
      </w:r>
      <w:r w:rsidR="00BE76E2">
        <w:t xml:space="preserve"> </w:t>
      </w:r>
      <w:r w:rsidR="002719A3">
        <w:t>countless</w:t>
      </w:r>
      <w:r w:rsidR="00BE76E2">
        <w:t xml:space="preserve"> </w:t>
      </w:r>
      <w:r w:rsidR="002719A3">
        <w:t xml:space="preserve">cultural influences </w:t>
      </w:r>
      <w:r w:rsidR="00CC5E67">
        <w:t>that</w:t>
      </w:r>
      <w:r w:rsidR="002719A3">
        <w:t xml:space="preserve"> have </w:t>
      </w:r>
      <w:r w:rsidR="003B6C4D">
        <w:t xml:space="preserve">so </w:t>
      </w:r>
      <w:r w:rsidR="002719A3">
        <w:t>profoundly shaped the English language over the centuries</w:t>
      </w:r>
      <w:r w:rsidR="00CC5E67">
        <w:t>—</w:t>
      </w:r>
      <w:r w:rsidR="003B6C4D">
        <w:t>and w</w:t>
      </w:r>
      <w:r w:rsidR="00CC5E67">
        <w:t>hich w</w:t>
      </w:r>
      <w:r w:rsidR="003B6C4D">
        <w:t xml:space="preserve">ill continue to shape it </w:t>
      </w:r>
      <w:r w:rsidR="00397535">
        <w:t>for years to come</w:t>
      </w:r>
      <w:r w:rsidR="002719A3">
        <w:t>. After all,</w:t>
      </w:r>
      <w:r w:rsidR="00BE76E2">
        <w:t xml:space="preserve"> linguistic fingerprints only exist because </w:t>
      </w:r>
      <w:r w:rsidR="00873301">
        <w:t xml:space="preserve">of the vast </w:t>
      </w:r>
      <w:r w:rsidR="00BE76E2">
        <w:t>variation in language, and it is t</w:t>
      </w:r>
      <w:r w:rsidR="00062486">
        <w:t xml:space="preserve">he </w:t>
      </w:r>
      <w:r w:rsidR="00BE76E2">
        <w:t xml:space="preserve">rich and </w:t>
      </w:r>
      <w:r w:rsidR="00CC5E67">
        <w:t>tangled</w:t>
      </w:r>
      <w:r w:rsidR="00BE76E2">
        <w:t xml:space="preserve"> </w:t>
      </w:r>
      <w:r w:rsidR="00062486">
        <w:t>history of the English language</w:t>
      </w:r>
      <w:r w:rsidR="002719A3">
        <w:t xml:space="preserve"> which makes that variation possible.</w:t>
      </w:r>
    </w:p>
    <w:p w14:paraId="47F6A692" w14:textId="77777777" w:rsidR="00062486" w:rsidRDefault="00062486" w:rsidP="003176E3">
      <w:pPr>
        <w:ind w:firstLine="720"/>
      </w:pPr>
    </w:p>
    <w:p w14:paraId="4176FD5C" w14:textId="77777777" w:rsidR="006070A9" w:rsidRDefault="006070A9" w:rsidP="0046091A"/>
    <w:p w14:paraId="59BD41A2" w14:textId="77777777" w:rsidR="006F52DC" w:rsidRDefault="006F52DC" w:rsidP="006F52DC"/>
    <w:p w14:paraId="56FB37E4" w14:textId="77777777" w:rsidR="00CC5E67" w:rsidRDefault="00CC5E67" w:rsidP="006F52DC"/>
    <w:p w14:paraId="7E9C0BCD" w14:textId="77777777" w:rsidR="00CC5E67" w:rsidRDefault="00CC5E67" w:rsidP="006F52DC"/>
    <w:p w14:paraId="2E7AC708" w14:textId="77777777" w:rsidR="00D909F2" w:rsidRDefault="00D909F2" w:rsidP="006F52DC"/>
    <w:p w14:paraId="71C0C80F" w14:textId="77777777" w:rsidR="00D909F2" w:rsidRDefault="00D909F2" w:rsidP="006F52DC"/>
    <w:p w14:paraId="0BC7CC88" w14:textId="77777777" w:rsidR="00D909F2" w:rsidRDefault="00D909F2" w:rsidP="006F52DC"/>
    <w:p w14:paraId="0AFE323C" w14:textId="77777777" w:rsidR="00D909F2" w:rsidRDefault="00D909F2" w:rsidP="006F52DC"/>
    <w:p w14:paraId="4C8BDBD0" w14:textId="413971E5" w:rsidR="006F52DC" w:rsidRDefault="006F52DC" w:rsidP="006F52DC">
      <w:r>
        <w:t>This paper represents my own work in accordance with University regulations.</w:t>
      </w:r>
    </w:p>
    <w:p w14:paraId="43407E52" w14:textId="45113A5A" w:rsidR="0046073E" w:rsidRDefault="006F52DC" w:rsidP="006F52DC">
      <w:r>
        <w:t>/s/ Hannah Hirsh</w:t>
      </w:r>
    </w:p>
    <w:p w14:paraId="5A48544A" w14:textId="77777777" w:rsidR="0065191A" w:rsidRDefault="0065191A" w:rsidP="0046073E">
      <w:pPr>
        <w:jc w:val="center"/>
      </w:pPr>
    </w:p>
    <w:p w14:paraId="23D671F4" w14:textId="77777777" w:rsidR="0065191A" w:rsidRDefault="0065191A" w:rsidP="0046073E">
      <w:pPr>
        <w:jc w:val="center"/>
      </w:pPr>
    </w:p>
    <w:p w14:paraId="74DE53A9" w14:textId="77777777" w:rsidR="0065191A" w:rsidRDefault="0065191A" w:rsidP="0046073E">
      <w:pPr>
        <w:jc w:val="center"/>
      </w:pPr>
    </w:p>
    <w:p w14:paraId="103C792D" w14:textId="77777777" w:rsidR="0065191A" w:rsidRDefault="0065191A" w:rsidP="0046073E">
      <w:pPr>
        <w:jc w:val="center"/>
      </w:pPr>
    </w:p>
    <w:p w14:paraId="7B0173B5" w14:textId="77777777" w:rsidR="0065191A" w:rsidRDefault="0065191A" w:rsidP="0046073E">
      <w:pPr>
        <w:jc w:val="center"/>
      </w:pPr>
    </w:p>
    <w:p w14:paraId="01C0E816" w14:textId="77777777" w:rsidR="0065191A" w:rsidRDefault="0065191A" w:rsidP="0046073E">
      <w:pPr>
        <w:jc w:val="center"/>
      </w:pPr>
    </w:p>
    <w:p w14:paraId="609434E2" w14:textId="77777777" w:rsidR="0065191A" w:rsidRDefault="0065191A" w:rsidP="0046073E">
      <w:pPr>
        <w:jc w:val="center"/>
      </w:pPr>
    </w:p>
    <w:p w14:paraId="6A5526F4" w14:textId="77777777" w:rsidR="0065191A" w:rsidRDefault="0065191A" w:rsidP="00852D55"/>
    <w:p w14:paraId="26485A0D" w14:textId="77777777" w:rsidR="0046073E" w:rsidRDefault="0046073E" w:rsidP="0046073E">
      <w:pPr>
        <w:jc w:val="center"/>
      </w:pPr>
      <w:r>
        <w:t>Works Cited</w:t>
      </w:r>
    </w:p>
    <w:p w14:paraId="40B36A1B" w14:textId="77777777" w:rsidR="0046073E" w:rsidRDefault="0046073E" w:rsidP="0046073E"/>
    <w:p w14:paraId="3DFA6F4A" w14:textId="77777777" w:rsidR="0046073E" w:rsidRDefault="0046073E" w:rsidP="0046073E">
      <w:r>
        <w:t>“</w:t>
      </w:r>
      <w:r w:rsidRPr="00646693">
        <w:t>American Dict</w:t>
      </w:r>
      <w:r>
        <w:t xml:space="preserve">ionary of the English Language.” Webster’s Dictionary 1828. </w:t>
      </w:r>
      <w:r w:rsidRPr="00646693">
        <w:t xml:space="preserve">Web. 13 </w:t>
      </w:r>
    </w:p>
    <w:p w14:paraId="4B8C4FC9" w14:textId="77777777" w:rsidR="0046073E" w:rsidRDefault="0046073E" w:rsidP="0046073E">
      <w:pPr>
        <w:ind w:firstLine="720"/>
      </w:pPr>
      <w:r w:rsidRPr="00646693">
        <w:t>May 2014. &lt;http://webstersdictionary1828.com/&gt;.</w:t>
      </w:r>
    </w:p>
    <w:p w14:paraId="60DDAD0E" w14:textId="77777777" w:rsidR="0046073E" w:rsidRDefault="0046073E" w:rsidP="0046073E"/>
    <w:p w14:paraId="3344E687" w14:textId="77777777" w:rsidR="0046073E" w:rsidRDefault="0046073E" w:rsidP="0046073E">
      <w:r>
        <w:t xml:space="preserve">“Analyse/ Analyze, v.” Oxford English Dictionary. Web. 10 May 2014. </w:t>
      </w:r>
    </w:p>
    <w:p w14:paraId="754C86DB" w14:textId="77777777" w:rsidR="0046073E" w:rsidRDefault="0046073E" w:rsidP="0046073E">
      <w:pPr>
        <w:ind w:firstLine="720"/>
      </w:pPr>
      <w:r>
        <w:t>&lt;http://www.oed.com/view/Entry/7041?rskey=Pjgvb6&amp;result=2&amp;isAdvanced=fal</w:t>
      </w:r>
    </w:p>
    <w:p w14:paraId="13DE7A25" w14:textId="77777777" w:rsidR="0046073E" w:rsidRDefault="0046073E" w:rsidP="0046073E">
      <w:pPr>
        <w:ind w:firstLine="720"/>
      </w:pPr>
      <w:r>
        <w:t>se#eid&gt;.</w:t>
      </w:r>
    </w:p>
    <w:p w14:paraId="59009736" w14:textId="77777777" w:rsidR="0046073E" w:rsidRDefault="0046073E" w:rsidP="0046073E"/>
    <w:p w14:paraId="06B5CE2F" w14:textId="77777777" w:rsidR="0046073E" w:rsidRDefault="0046073E" w:rsidP="0046073E">
      <w:r>
        <w:t>“Analyse (v</w:t>
      </w:r>
      <w:r w:rsidRPr="00646693">
        <w:t>).</w:t>
      </w:r>
      <w:r>
        <w:t xml:space="preserve">” Online Etymology Dictionary. </w:t>
      </w:r>
      <w:r w:rsidRPr="00646693">
        <w:t xml:space="preserve">Web. 9 May 2014. </w:t>
      </w:r>
    </w:p>
    <w:p w14:paraId="07B39334" w14:textId="77777777" w:rsidR="0046073E" w:rsidRDefault="0046073E" w:rsidP="0046073E">
      <w:pPr>
        <w:ind w:firstLine="720"/>
      </w:pPr>
      <w:r w:rsidRPr="00646693">
        <w:t>&lt;http://www.etymonline.com/index.php?term=analyse&gt;.</w:t>
      </w:r>
    </w:p>
    <w:p w14:paraId="0F22F93A" w14:textId="77777777" w:rsidR="0046073E" w:rsidRDefault="0046073E" w:rsidP="0046073E"/>
    <w:p w14:paraId="4BBFD68C" w14:textId="77777777" w:rsidR="0046073E" w:rsidRDefault="0046073E" w:rsidP="0046073E">
      <w:pPr>
        <w:rPr>
          <w:i/>
        </w:rPr>
      </w:pPr>
      <w:r w:rsidRPr="00B9326A">
        <w:t xml:space="preserve">Campbell, John </w:t>
      </w:r>
      <w:r>
        <w:t xml:space="preserve">H., and Don DeNevi. </w:t>
      </w:r>
      <w:r w:rsidRPr="00B9326A">
        <w:rPr>
          <w:i/>
        </w:rPr>
        <w:t xml:space="preserve">Profilers: Leading Investigators Take You Inside </w:t>
      </w:r>
    </w:p>
    <w:p w14:paraId="1996A6B5" w14:textId="77777777" w:rsidR="0046073E" w:rsidRPr="00710C7A" w:rsidRDefault="0046073E" w:rsidP="0046073E">
      <w:pPr>
        <w:ind w:firstLine="720"/>
        <w:rPr>
          <w:i/>
        </w:rPr>
      </w:pPr>
      <w:r w:rsidRPr="00B9326A">
        <w:rPr>
          <w:i/>
        </w:rPr>
        <w:t>the Criminal Mind</w:t>
      </w:r>
      <w:r w:rsidRPr="00B9326A">
        <w:t>. Amherst, N.Y.: Prometheus Books, 2004. Print.</w:t>
      </w:r>
    </w:p>
    <w:p w14:paraId="43862C2B" w14:textId="77777777" w:rsidR="0046073E" w:rsidRDefault="0046073E" w:rsidP="0046073E">
      <w:pPr>
        <w:ind w:firstLine="720"/>
      </w:pPr>
    </w:p>
    <w:p w14:paraId="0D59533A" w14:textId="77777777" w:rsidR="0046073E" w:rsidRDefault="0046073E" w:rsidP="0046073E">
      <w:pPr>
        <w:rPr>
          <w:i/>
        </w:rPr>
      </w:pPr>
      <w:r w:rsidRPr="00B9326A">
        <w:t xml:space="preserve">Chase, Alston. </w:t>
      </w:r>
      <w:r w:rsidRPr="00B9326A">
        <w:rPr>
          <w:i/>
        </w:rPr>
        <w:t xml:space="preserve">A Mind for Murder: The Education of the Unabomber and the Origins of </w:t>
      </w:r>
    </w:p>
    <w:p w14:paraId="36DA973C" w14:textId="77777777" w:rsidR="0046073E" w:rsidRDefault="0046073E" w:rsidP="0046073E">
      <w:pPr>
        <w:ind w:firstLine="720"/>
      </w:pPr>
      <w:r w:rsidRPr="00B9326A">
        <w:rPr>
          <w:i/>
        </w:rPr>
        <w:t>Modern Terrorism</w:t>
      </w:r>
      <w:r w:rsidRPr="00B9326A">
        <w:t>. W. W. Norton &amp; Company, Incorporated. p. 84.</w:t>
      </w:r>
    </w:p>
    <w:p w14:paraId="7AE8B75A" w14:textId="77777777" w:rsidR="0046073E" w:rsidRDefault="0046073E" w:rsidP="0046073E"/>
    <w:p w14:paraId="4CCF00BD" w14:textId="77777777" w:rsidR="0046073E" w:rsidRDefault="0046073E" w:rsidP="0046073E">
      <w:pPr>
        <w:rPr>
          <w:i/>
        </w:rPr>
      </w:pPr>
      <w:r w:rsidRPr="00B9326A">
        <w:t xml:space="preserve">Chase, Alston. </w:t>
      </w:r>
      <w:r w:rsidRPr="00B9326A">
        <w:rPr>
          <w:i/>
        </w:rPr>
        <w:t>A Mind for Murder: The Education of t</w:t>
      </w:r>
      <w:r>
        <w:rPr>
          <w:i/>
        </w:rPr>
        <w:t xml:space="preserve">he Unabomber and the Origins of </w:t>
      </w:r>
    </w:p>
    <w:p w14:paraId="3C5C350B" w14:textId="77777777" w:rsidR="0046073E" w:rsidRPr="00646693" w:rsidRDefault="0046073E" w:rsidP="0046073E">
      <w:pPr>
        <w:ind w:firstLine="720"/>
        <w:rPr>
          <w:i/>
        </w:rPr>
      </w:pPr>
      <w:r w:rsidRPr="00B9326A">
        <w:rPr>
          <w:i/>
        </w:rPr>
        <w:t>Modern Terrorism</w:t>
      </w:r>
      <w:r w:rsidRPr="00B9326A">
        <w:t>. W. W. Norton &amp; Company, Incorporated. p. 84.</w:t>
      </w:r>
    </w:p>
    <w:p w14:paraId="386BAD6E" w14:textId="77777777" w:rsidR="0046073E" w:rsidRDefault="0046073E" w:rsidP="0046073E"/>
    <w:p w14:paraId="15E924EA" w14:textId="77777777" w:rsidR="0046073E" w:rsidRDefault="0046073E" w:rsidP="0046073E">
      <w:pPr>
        <w:rPr>
          <w:i/>
        </w:rPr>
      </w:pPr>
      <w:r>
        <w:t>Foster, Donald W.</w:t>
      </w:r>
      <w:r w:rsidRPr="00710C7A">
        <w:t xml:space="preserve"> “Chapter 3: A Professor's Whodunit.” </w:t>
      </w:r>
      <w:r w:rsidRPr="00710C7A">
        <w:rPr>
          <w:i/>
        </w:rPr>
        <w:t xml:space="preserve">Author Unknown: On the Trail </w:t>
      </w:r>
    </w:p>
    <w:p w14:paraId="2C39D138" w14:textId="77777777" w:rsidR="0046073E" w:rsidRDefault="0046073E" w:rsidP="0046073E">
      <w:pPr>
        <w:ind w:firstLine="720"/>
      </w:pPr>
      <w:r w:rsidRPr="00710C7A">
        <w:rPr>
          <w:i/>
        </w:rPr>
        <w:t>of Anonymous</w:t>
      </w:r>
      <w:r>
        <w:t>. New York: Henry Holt, 2000</w:t>
      </w:r>
      <w:r w:rsidRPr="00710C7A">
        <w:t>. Print.</w:t>
      </w:r>
    </w:p>
    <w:p w14:paraId="411C0B43" w14:textId="77777777" w:rsidR="0046073E" w:rsidRDefault="0046073E" w:rsidP="0046073E"/>
    <w:p w14:paraId="6BE8F2D6" w14:textId="77777777" w:rsidR="0046073E" w:rsidRDefault="0046073E" w:rsidP="0046073E">
      <w:r>
        <w:t>“Google Ngram Viewer.”</w:t>
      </w:r>
      <w:r w:rsidRPr="004323C6">
        <w:t xml:space="preserve"> Google Ngram Viewer. Web. 13 May 2014. </w:t>
      </w:r>
    </w:p>
    <w:p w14:paraId="62B8F25A" w14:textId="77777777" w:rsidR="0046073E" w:rsidRDefault="0046073E" w:rsidP="0046073E">
      <w:pPr>
        <w:ind w:firstLine="720"/>
      </w:pPr>
      <w:r w:rsidRPr="004323C6">
        <w:t>&lt;http://books.google.com/ngrams&gt;.</w:t>
      </w:r>
    </w:p>
    <w:p w14:paraId="6C365536" w14:textId="77777777" w:rsidR="0046073E" w:rsidRDefault="0046073E" w:rsidP="0046073E">
      <w:pPr>
        <w:ind w:firstLine="720"/>
      </w:pPr>
    </w:p>
    <w:p w14:paraId="7B6FF5BF" w14:textId="77777777" w:rsidR="0046073E" w:rsidRPr="00B9326A" w:rsidRDefault="0046073E" w:rsidP="0046073E">
      <w:r w:rsidRPr="00B9326A">
        <w:t xml:space="preserve">Hitt, Jack. “Words on Trial,” </w:t>
      </w:r>
      <w:r w:rsidRPr="00B9326A">
        <w:rPr>
          <w:i/>
        </w:rPr>
        <w:t>The New Yorker</w:t>
      </w:r>
      <w:r w:rsidRPr="00B9326A">
        <w:t>. July 23, 2012, p. 24.</w:t>
      </w:r>
    </w:p>
    <w:p w14:paraId="1133876B" w14:textId="77777777" w:rsidR="0046073E" w:rsidRDefault="0046073E" w:rsidP="0046073E"/>
    <w:p w14:paraId="00DEBE0F" w14:textId="77777777" w:rsidR="0046073E" w:rsidRDefault="0046073E" w:rsidP="0046073E">
      <w:r>
        <w:t xml:space="preserve">“Language Log.” </w:t>
      </w:r>
      <w:r w:rsidRPr="00B9326A">
        <w:rPr>
          <w:i/>
        </w:rPr>
        <w:t>Forensic Linguistics, the Unabomber, and the Etymological Fallacy</w:t>
      </w:r>
      <w:r>
        <w:t xml:space="preserve">. </w:t>
      </w:r>
    </w:p>
    <w:p w14:paraId="7C2E0309" w14:textId="77777777" w:rsidR="0046073E" w:rsidRDefault="0046073E" w:rsidP="0046073E">
      <w:pPr>
        <w:ind w:firstLine="720"/>
      </w:pPr>
      <w:r>
        <w:t xml:space="preserve">Web. 13 May 2014. </w:t>
      </w:r>
    </w:p>
    <w:p w14:paraId="0C377C51" w14:textId="77777777" w:rsidR="0046073E" w:rsidRDefault="0046073E" w:rsidP="0046073E">
      <w:pPr>
        <w:ind w:firstLine="720"/>
      </w:pPr>
      <w:r>
        <w:t>&lt;http://itre.cis.upenn.edu/~myl/languagelog/archives/002762.html&gt;.</w:t>
      </w:r>
    </w:p>
    <w:p w14:paraId="47A8DACF" w14:textId="77777777" w:rsidR="0046073E" w:rsidRDefault="0046073E" w:rsidP="0046073E"/>
    <w:p w14:paraId="33DF178F" w14:textId="77777777" w:rsidR="0046073E" w:rsidRDefault="0046073E" w:rsidP="0046073E">
      <w:r>
        <w:t>“Licence, n.” Oxford English Dictionary. Web. 10 May 2014.</w:t>
      </w:r>
    </w:p>
    <w:p w14:paraId="1097930E" w14:textId="77777777" w:rsidR="0046073E" w:rsidRDefault="0046073E" w:rsidP="0046073E">
      <w:pPr>
        <w:ind w:firstLine="720"/>
      </w:pPr>
      <w:r>
        <w:t>&lt;</w:t>
      </w:r>
      <w:r w:rsidRPr="00646693">
        <w:t>http://www.oed.com/view/Entry/107943#eid39414049</w:t>
      </w:r>
      <w:r>
        <w:t>&gt;.</w:t>
      </w:r>
    </w:p>
    <w:p w14:paraId="21F14C37" w14:textId="77777777" w:rsidR="0046073E" w:rsidRDefault="0046073E" w:rsidP="0046073E"/>
    <w:p w14:paraId="4105A270" w14:textId="77777777" w:rsidR="0046073E" w:rsidRDefault="0046073E" w:rsidP="0046073E">
      <w:r w:rsidRPr="00B9326A">
        <w:t xml:space="preserve">Olsson, John. </w:t>
      </w:r>
      <w:r w:rsidRPr="00B9326A">
        <w:rPr>
          <w:i/>
        </w:rPr>
        <w:t>Forensic Linguistics</w:t>
      </w:r>
      <w:r w:rsidRPr="00B9326A">
        <w:t>. 2nd ed., London: Continuum, 2008. Print. p. 41-62.</w:t>
      </w:r>
    </w:p>
    <w:p w14:paraId="10356EF8" w14:textId="77777777" w:rsidR="0046073E" w:rsidRDefault="0046073E" w:rsidP="0046073E"/>
    <w:p w14:paraId="6CEED01F" w14:textId="77777777" w:rsidR="0046073E" w:rsidRDefault="0046073E" w:rsidP="0046073E">
      <w:r>
        <w:t xml:space="preserve">“Paralyse/ Paralyze, v.” Oxford English Dictionary. Web. 10 May 2014. </w:t>
      </w:r>
    </w:p>
    <w:p w14:paraId="20B31FAA" w14:textId="77777777" w:rsidR="0046073E" w:rsidRDefault="0046073E" w:rsidP="0046073E">
      <w:pPr>
        <w:ind w:firstLine="720"/>
      </w:pPr>
      <w:r>
        <w:t>&lt;</w:t>
      </w:r>
      <w:r w:rsidRPr="00646693">
        <w:t>http://www.oed.com/view/Entry/137495?redirectedFrom=paralyse#eid</w:t>
      </w:r>
      <w:r>
        <w:t>&gt;.</w:t>
      </w:r>
    </w:p>
    <w:p w14:paraId="12D26D8A" w14:textId="77777777" w:rsidR="0046073E" w:rsidRDefault="0046073E" w:rsidP="0046073E"/>
    <w:p w14:paraId="2DC10420" w14:textId="77777777" w:rsidR="0046073E" w:rsidRDefault="0046073E" w:rsidP="0046073E">
      <w:r>
        <w:t xml:space="preserve">“Unabomber Affidavit Excerpts on Language.” Illinois English. Web. 10 May 2014. </w:t>
      </w:r>
    </w:p>
    <w:p w14:paraId="60C813EB" w14:textId="77777777" w:rsidR="0046073E" w:rsidRDefault="0046073E" w:rsidP="0046073E">
      <w:pPr>
        <w:ind w:firstLine="720"/>
      </w:pPr>
      <w:r>
        <w:t>&lt;http://www.english.illinois.edu/-people</w:t>
      </w:r>
    </w:p>
    <w:p w14:paraId="76B10578" w14:textId="77777777" w:rsidR="0046073E" w:rsidRDefault="0046073E" w:rsidP="0046073E">
      <w:pPr>
        <w:ind w:firstLine="720"/>
      </w:pPr>
      <w:r>
        <w:t>/faculty/debaron/380/380reading/Unabombexcerpts.pdf&gt;.</w:t>
      </w:r>
    </w:p>
    <w:p w14:paraId="002BCA67" w14:textId="77777777" w:rsidR="0046073E" w:rsidRDefault="0046073E" w:rsidP="0046073E"/>
    <w:p w14:paraId="2B0083FF" w14:textId="77777777" w:rsidR="0046073E" w:rsidRPr="00B9326A" w:rsidRDefault="0046073E" w:rsidP="0046073E">
      <w:r>
        <w:t xml:space="preserve">“The Unabomber.” FBI. </w:t>
      </w:r>
      <w:r w:rsidRPr="00B9326A">
        <w:t xml:space="preserve">24 Apr. 2008. Web. 10 Apr. 2014. </w:t>
      </w:r>
    </w:p>
    <w:p w14:paraId="4DD4986B" w14:textId="77777777" w:rsidR="0046073E" w:rsidRDefault="0046073E" w:rsidP="0046073E">
      <w:pPr>
        <w:ind w:firstLine="720"/>
      </w:pPr>
      <w:r w:rsidRPr="00B9326A">
        <w:t>&lt;http://www.fbi.gov/news/stories/2008/april/unabomber_042408&gt;.</w:t>
      </w:r>
    </w:p>
    <w:p w14:paraId="6FE80D5F" w14:textId="77777777" w:rsidR="0046073E" w:rsidRDefault="0046073E" w:rsidP="0046073E"/>
    <w:p w14:paraId="3455E0CF" w14:textId="77777777" w:rsidR="0046073E" w:rsidRDefault="0046073E" w:rsidP="0046073E">
      <w:r w:rsidRPr="004323C6">
        <w:t xml:space="preserve">Upward, Christopher, and George Davidson. </w:t>
      </w:r>
      <w:r w:rsidRPr="004323C6">
        <w:rPr>
          <w:i/>
        </w:rPr>
        <w:t>The History of English Spelling</w:t>
      </w:r>
      <w:r w:rsidRPr="004323C6">
        <w:t xml:space="preserve">. Malden, </w:t>
      </w:r>
    </w:p>
    <w:p w14:paraId="5D9E433C" w14:textId="77777777" w:rsidR="0046073E" w:rsidRDefault="0046073E" w:rsidP="0046073E">
      <w:pPr>
        <w:ind w:firstLine="720"/>
      </w:pPr>
      <w:r w:rsidRPr="004323C6">
        <w:t>MA: Wiley-Blackwell, 2011. Print.</w:t>
      </w:r>
    </w:p>
    <w:p w14:paraId="1B862D11" w14:textId="77777777" w:rsidR="0046073E" w:rsidRDefault="0046073E" w:rsidP="0046073E"/>
    <w:p w14:paraId="057B979B" w14:textId="77777777" w:rsidR="0046073E" w:rsidRDefault="0046073E" w:rsidP="0046073E">
      <w:r>
        <w:t>“Wilful vs. Willful.”</w:t>
      </w:r>
      <w:r w:rsidRPr="00646693">
        <w:t xml:space="preserve"> </w:t>
      </w:r>
      <w:r w:rsidRPr="00646693">
        <w:rPr>
          <w:i/>
        </w:rPr>
        <w:t>Grammarist</w:t>
      </w:r>
      <w:r w:rsidRPr="00646693">
        <w:t xml:space="preserve">. </w:t>
      </w:r>
      <w:r>
        <w:t xml:space="preserve">Web. 10 May 2014. </w:t>
      </w:r>
    </w:p>
    <w:p w14:paraId="7173D226" w14:textId="77777777" w:rsidR="0046073E" w:rsidRDefault="0046073E" w:rsidP="0046073E">
      <w:pPr>
        <w:ind w:firstLine="720"/>
      </w:pPr>
      <w:r w:rsidRPr="00646693">
        <w:t>&lt;http://grammarist.com/spelling/wilful-willful/&gt;.</w:t>
      </w:r>
    </w:p>
    <w:p w14:paraId="0351E888" w14:textId="77777777" w:rsidR="0046073E" w:rsidRDefault="0046073E" w:rsidP="0046073E">
      <w:pPr>
        <w:ind w:firstLine="720"/>
      </w:pPr>
    </w:p>
    <w:p w14:paraId="78524C18" w14:textId="77777777" w:rsidR="0046073E" w:rsidRDefault="0046073E" w:rsidP="0046073E">
      <w:r>
        <w:t>“</w:t>
      </w:r>
      <w:r w:rsidRPr="00710C7A">
        <w:t>World Wide Wo</w:t>
      </w:r>
      <w:r>
        <w:t>rds: Have Your Cake and Eat It.”</w:t>
      </w:r>
      <w:r w:rsidRPr="00710C7A">
        <w:t xml:space="preserve"> World Wide Words. Web. 13 May </w:t>
      </w:r>
    </w:p>
    <w:p w14:paraId="083E38C0" w14:textId="77777777" w:rsidR="0046073E" w:rsidRDefault="0046073E" w:rsidP="0046073E">
      <w:pPr>
        <w:ind w:firstLine="720"/>
      </w:pPr>
      <w:r w:rsidRPr="00710C7A">
        <w:t>2014. &lt;http://www.worldwidewords.org/qa/qa-hav2.htm&gt;.</w:t>
      </w:r>
    </w:p>
    <w:p w14:paraId="4837F895" w14:textId="77777777" w:rsidR="0046073E" w:rsidRPr="00106882" w:rsidRDefault="0046073E" w:rsidP="006F52DC"/>
    <w:sectPr w:rsidR="0046073E" w:rsidRPr="00106882" w:rsidSect="0065191A">
      <w:footerReference w:type="even" r:id="rId7"/>
      <w:foot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A70BA" w14:textId="77777777" w:rsidR="001D2BBD" w:rsidRDefault="001D2BBD" w:rsidP="005D24FA">
      <w:r>
        <w:separator/>
      </w:r>
    </w:p>
  </w:endnote>
  <w:endnote w:type="continuationSeparator" w:id="0">
    <w:p w14:paraId="7CA78B54" w14:textId="77777777" w:rsidR="001D2BBD" w:rsidRDefault="001D2BBD" w:rsidP="005D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AB1D3" w14:textId="77777777" w:rsidR="001D2BBD" w:rsidRDefault="001D2BBD" w:rsidP="001D2B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B4C4BD" w14:textId="77777777" w:rsidR="001D2BBD" w:rsidRDefault="001D2BBD" w:rsidP="006519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4E75D" w14:textId="77777777" w:rsidR="001D2BBD" w:rsidRDefault="001D2BBD" w:rsidP="001D2B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4329">
      <w:rPr>
        <w:rStyle w:val="PageNumber"/>
        <w:noProof/>
      </w:rPr>
      <w:t>2</w:t>
    </w:r>
    <w:r>
      <w:rPr>
        <w:rStyle w:val="PageNumber"/>
      </w:rPr>
      <w:fldChar w:fldCharType="end"/>
    </w:r>
  </w:p>
  <w:p w14:paraId="4AEE3848" w14:textId="77777777" w:rsidR="001D2BBD" w:rsidRDefault="001D2BBD" w:rsidP="0065191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61862" w14:textId="77777777" w:rsidR="001D2BBD" w:rsidRDefault="001D2BBD" w:rsidP="005D24FA">
      <w:r>
        <w:separator/>
      </w:r>
    </w:p>
  </w:footnote>
  <w:footnote w:type="continuationSeparator" w:id="0">
    <w:p w14:paraId="6D4FD5CB" w14:textId="77777777" w:rsidR="001D2BBD" w:rsidRDefault="001D2BBD" w:rsidP="005D24FA">
      <w:r>
        <w:continuationSeparator/>
      </w:r>
    </w:p>
  </w:footnote>
  <w:footnote w:id="1">
    <w:p w14:paraId="548EECAD" w14:textId="1206B016" w:rsidR="001D2BBD" w:rsidRPr="00550EAD" w:rsidRDefault="001D2BBD" w:rsidP="00CB13EB">
      <w:pPr>
        <w:rPr>
          <w:sz w:val="18"/>
          <w:szCs w:val="18"/>
        </w:rPr>
      </w:pPr>
      <w:r w:rsidRPr="00550EAD">
        <w:rPr>
          <w:rStyle w:val="FootnoteReference"/>
          <w:sz w:val="18"/>
          <w:szCs w:val="18"/>
        </w:rPr>
        <w:footnoteRef/>
      </w:r>
      <w:r w:rsidRPr="00550EAD">
        <w:rPr>
          <w:sz w:val="18"/>
          <w:szCs w:val="18"/>
        </w:rPr>
        <w:t xml:space="preserve"> Hitt, Jack. “Words on Trial,” </w:t>
      </w:r>
      <w:r w:rsidRPr="00550EAD">
        <w:rPr>
          <w:i/>
          <w:sz w:val="18"/>
          <w:szCs w:val="18"/>
        </w:rPr>
        <w:t>The New Yorker</w:t>
      </w:r>
      <w:r w:rsidRPr="00550EAD">
        <w:rPr>
          <w:sz w:val="18"/>
          <w:szCs w:val="18"/>
        </w:rPr>
        <w:t>. July 23, 2012, p. 24.</w:t>
      </w:r>
    </w:p>
  </w:footnote>
  <w:footnote w:id="2">
    <w:p w14:paraId="44EA2A27" w14:textId="3D7239FF" w:rsidR="001D2BBD" w:rsidRPr="00550EAD" w:rsidRDefault="001D2BBD" w:rsidP="00C16778">
      <w:pPr>
        <w:rPr>
          <w:sz w:val="18"/>
          <w:szCs w:val="18"/>
        </w:rPr>
      </w:pPr>
      <w:r w:rsidRPr="00550EAD">
        <w:rPr>
          <w:rStyle w:val="FootnoteReference"/>
          <w:sz w:val="18"/>
          <w:szCs w:val="18"/>
        </w:rPr>
        <w:footnoteRef/>
      </w:r>
      <w:r w:rsidRPr="00550EAD">
        <w:rPr>
          <w:sz w:val="18"/>
          <w:szCs w:val="18"/>
        </w:rPr>
        <w:t xml:space="preserve"> Olsson, John. </w:t>
      </w:r>
      <w:r w:rsidRPr="00550EAD">
        <w:rPr>
          <w:i/>
          <w:sz w:val="18"/>
          <w:szCs w:val="18"/>
        </w:rPr>
        <w:t>Forensic Linguistics</w:t>
      </w:r>
      <w:r w:rsidRPr="00550EAD">
        <w:rPr>
          <w:sz w:val="18"/>
          <w:szCs w:val="18"/>
        </w:rPr>
        <w:t>. 2nd ed., London: Continuum, 2008. Print. p. 41-62.</w:t>
      </w:r>
    </w:p>
  </w:footnote>
  <w:footnote w:id="3">
    <w:p w14:paraId="088402AE" w14:textId="48640942" w:rsidR="001D2BBD" w:rsidRPr="00550EAD" w:rsidRDefault="001D2BBD" w:rsidP="00C16778">
      <w:pPr>
        <w:rPr>
          <w:sz w:val="18"/>
          <w:szCs w:val="18"/>
        </w:rPr>
      </w:pPr>
      <w:r w:rsidRPr="00550EAD">
        <w:rPr>
          <w:rStyle w:val="FootnoteReference"/>
          <w:sz w:val="18"/>
          <w:szCs w:val="18"/>
        </w:rPr>
        <w:footnoteRef/>
      </w:r>
      <w:r w:rsidRPr="00550EAD">
        <w:rPr>
          <w:sz w:val="18"/>
          <w:szCs w:val="18"/>
        </w:rPr>
        <w:t xml:space="preserve"> “The Unabomber.” FBI. Web. 10 Apr. 2014. &lt;http://www.fbi.gov/news/stories/2008/april/unabomber_042408&gt;.</w:t>
      </w:r>
    </w:p>
  </w:footnote>
  <w:footnote w:id="4">
    <w:p w14:paraId="0FF21417" w14:textId="199BD2E5" w:rsidR="001D2BBD" w:rsidRPr="00550EAD" w:rsidRDefault="001D2BBD" w:rsidP="00F11FBF">
      <w:pPr>
        <w:rPr>
          <w:i/>
          <w:sz w:val="18"/>
          <w:szCs w:val="18"/>
        </w:rPr>
      </w:pPr>
      <w:r w:rsidRPr="00550EAD">
        <w:rPr>
          <w:rStyle w:val="FootnoteReference"/>
          <w:sz w:val="18"/>
          <w:szCs w:val="18"/>
        </w:rPr>
        <w:footnoteRef/>
      </w:r>
      <w:r w:rsidRPr="00550EAD">
        <w:rPr>
          <w:sz w:val="18"/>
          <w:szCs w:val="18"/>
        </w:rPr>
        <w:t xml:space="preserve"> Chase, Alston. </w:t>
      </w:r>
      <w:r w:rsidRPr="00550EAD">
        <w:rPr>
          <w:i/>
          <w:sz w:val="18"/>
          <w:szCs w:val="18"/>
        </w:rPr>
        <w:t>A Mind for Murder: The Education of the Unabomber and the Origins of Modern Terrorism</w:t>
      </w:r>
      <w:r w:rsidRPr="00550EAD">
        <w:rPr>
          <w:sz w:val="18"/>
          <w:szCs w:val="18"/>
        </w:rPr>
        <w:t>. W. W. Norton &amp; Company, Incorporated. p. 84.</w:t>
      </w:r>
    </w:p>
  </w:footnote>
  <w:footnote w:id="5">
    <w:p w14:paraId="517DC44E" w14:textId="48715096" w:rsidR="001D2BBD" w:rsidRPr="00550EAD" w:rsidRDefault="001D2BBD" w:rsidP="00F11FBF">
      <w:pPr>
        <w:rPr>
          <w:sz w:val="18"/>
          <w:szCs w:val="18"/>
        </w:rPr>
      </w:pPr>
      <w:r w:rsidRPr="00550EAD">
        <w:rPr>
          <w:rStyle w:val="FootnoteReference"/>
          <w:sz w:val="18"/>
          <w:szCs w:val="18"/>
        </w:rPr>
        <w:footnoteRef/>
      </w:r>
      <w:r w:rsidRPr="00550EAD">
        <w:rPr>
          <w:sz w:val="18"/>
          <w:szCs w:val="18"/>
        </w:rPr>
        <w:t xml:space="preserve"> “Language Log.” </w:t>
      </w:r>
      <w:r w:rsidRPr="00550EAD">
        <w:rPr>
          <w:i/>
          <w:sz w:val="18"/>
          <w:szCs w:val="18"/>
        </w:rPr>
        <w:t>Forensic Linguistics, the Unabomber, and the Etymological Fallacy</w:t>
      </w:r>
      <w:r w:rsidRPr="00550EAD">
        <w:rPr>
          <w:sz w:val="18"/>
          <w:szCs w:val="18"/>
        </w:rPr>
        <w:t xml:space="preserve">. Web. 13 May 2014. </w:t>
      </w:r>
    </w:p>
    <w:p w14:paraId="6F6CCB4B" w14:textId="19D75297" w:rsidR="001D2BBD" w:rsidRPr="00550EAD" w:rsidRDefault="001D2BBD" w:rsidP="00895201">
      <w:pPr>
        <w:rPr>
          <w:sz w:val="18"/>
          <w:szCs w:val="18"/>
        </w:rPr>
      </w:pPr>
      <w:r w:rsidRPr="00550EAD">
        <w:rPr>
          <w:sz w:val="18"/>
          <w:szCs w:val="18"/>
        </w:rPr>
        <w:t>&lt;http://itre.cis.upenn.edu/~myl/languagelog/archives/002762.html&gt;</w:t>
      </w:r>
    </w:p>
  </w:footnote>
  <w:footnote w:id="6">
    <w:p w14:paraId="4441B059" w14:textId="66ABE1C4" w:rsidR="001D2BBD" w:rsidRPr="00550EAD" w:rsidRDefault="001D2BBD" w:rsidP="00895201">
      <w:pPr>
        <w:rPr>
          <w:sz w:val="18"/>
          <w:szCs w:val="18"/>
        </w:rPr>
      </w:pPr>
      <w:r w:rsidRPr="00550EAD">
        <w:rPr>
          <w:rStyle w:val="FootnoteReference"/>
          <w:sz w:val="18"/>
          <w:szCs w:val="18"/>
        </w:rPr>
        <w:footnoteRef/>
      </w:r>
      <w:r w:rsidRPr="00550EAD">
        <w:rPr>
          <w:sz w:val="18"/>
          <w:szCs w:val="18"/>
        </w:rPr>
        <w:t xml:space="preserve">Foster, Donald W. “Chapter 3: A Professor's Whodunit.” </w:t>
      </w:r>
      <w:r w:rsidRPr="00550EAD">
        <w:rPr>
          <w:i/>
          <w:sz w:val="18"/>
          <w:szCs w:val="18"/>
        </w:rPr>
        <w:t>Author Unknown: On the Trail of Anonymous</w:t>
      </w:r>
      <w:r w:rsidRPr="00550EAD">
        <w:rPr>
          <w:sz w:val="18"/>
          <w:szCs w:val="18"/>
        </w:rPr>
        <w:t>. New York: Henry Holt, 2000. Print.</w:t>
      </w:r>
    </w:p>
  </w:footnote>
  <w:footnote w:id="7">
    <w:p w14:paraId="0D3F3B77" w14:textId="106C8A11" w:rsidR="001D2BBD" w:rsidRPr="0065191A" w:rsidRDefault="001D2BBD" w:rsidP="0065191A">
      <w:pPr>
        <w:rPr>
          <w:i/>
          <w:sz w:val="18"/>
          <w:szCs w:val="18"/>
        </w:rPr>
      </w:pPr>
      <w:r w:rsidRPr="00550EAD">
        <w:rPr>
          <w:rStyle w:val="FootnoteReference"/>
          <w:sz w:val="18"/>
          <w:szCs w:val="18"/>
        </w:rPr>
        <w:footnoteRef/>
      </w:r>
      <w:r w:rsidRPr="00550EAD">
        <w:rPr>
          <w:sz w:val="18"/>
          <w:szCs w:val="18"/>
        </w:rPr>
        <w:t xml:space="preserve">Campbell, John H., and Don DeNevi. </w:t>
      </w:r>
      <w:r w:rsidRPr="00550EAD">
        <w:rPr>
          <w:i/>
          <w:sz w:val="18"/>
          <w:szCs w:val="18"/>
        </w:rPr>
        <w:t>Profilers: Leading Investigators Take You Inside the Criminal Mind</w:t>
      </w:r>
      <w:r w:rsidRPr="00550EAD">
        <w:rPr>
          <w:sz w:val="18"/>
          <w:szCs w:val="18"/>
        </w:rPr>
        <w:t>. Amherst, N.Y.: Prometheus Books, 2004. p. 205. Print.</w:t>
      </w:r>
    </w:p>
  </w:footnote>
  <w:footnote w:id="8">
    <w:p w14:paraId="3A9F1F39" w14:textId="22BDBCCA" w:rsidR="001D2BBD" w:rsidRPr="00550EAD" w:rsidRDefault="001D2BBD">
      <w:pPr>
        <w:pStyle w:val="FootnoteText"/>
      </w:pPr>
      <w:r w:rsidRPr="00550EAD">
        <w:rPr>
          <w:rStyle w:val="FootnoteReference"/>
        </w:rPr>
        <w:footnoteRef/>
      </w:r>
      <w:r w:rsidRPr="00550EAD">
        <w:t xml:space="preserve"> “World Wide Words: Have Your Cake and Eat It.” World Wide Words. Web. 13 May 2014. &lt;http://www.worldwidewords.org/qa/qa-hav2.htm&gt;.</w:t>
      </w:r>
    </w:p>
  </w:footnote>
  <w:footnote w:id="9">
    <w:p w14:paraId="6C3FBB2A" w14:textId="79F1FFDA" w:rsidR="001D2BBD" w:rsidRPr="00550EAD" w:rsidRDefault="001D2BBD">
      <w:pPr>
        <w:pStyle w:val="FootnoteText"/>
      </w:pPr>
      <w:r w:rsidRPr="00550EAD">
        <w:rPr>
          <w:rStyle w:val="FootnoteReference"/>
        </w:rPr>
        <w:footnoteRef/>
      </w:r>
      <w:r w:rsidRPr="00550EAD">
        <w:t xml:space="preserve"> “Language Log.”</w:t>
      </w:r>
    </w:p>
  </w:footnote>
  <w:footnote w:id="10">
    <w:p w14:paraId="1AD7329F" w14:textId="2B24A891" w:rsidR="001D2BBD" w:rsidRPr="00550EAD" w:rsidRDefault="001D2BBD" w:rsidP="00550EAD">
      <w:pPr>
        <w:rPr>
          <w:sz w:val="18"/>
          <w:szCs w:val="18"/>
        </w:rPr>
      </w:pPr>
      <w:r w:rsidRPr="00550EAD">
        <w:rPr>
          <w:rStyle w:val="FootnoteReference"/>
          <w:sz w:val="18"/>
          <w:szCs w:val="18"/>
        </w:rPr>
        <w:footnoteRef/>
      </w:r>
      <w:r w:rsidRPr="00550EAD">
        <w:rPr>
          <w:sz w:val="18"/>
          <w:szCs w:val="18"/>
        </w:rPr>
        <w:t xml:space="preserve"> “Google Ngram Viewer.” Google Ngram Viewer. Web. 13 May 2014. &lt;http://books.google.com/ngrams&gt;.</w:t>
      </w:r>
    </w:p>
  </w:footnote>
  <w:footnote w:id="11">
    <w:p w14:paraId="14A95F1D" w14:textId="4C4A3150" w:rsidR="001D2BBD" w:rsidRPr="00550EAD" w:rsidRDefault="001D2BBD">
      <w:pPr>
        <w:pStyle w:val="FootnoteText"/>
      </w:pPr>
      <w:r w:rsidRPr="00550EAD">
        <w:rPr>
          <w:rStyle w:val="FootnoteReference"/>
        </w:rPr>
        <w:footnoteRef/>
      </w:r>
      <w:r w:rsidRPr="00550EAD">
        <w:t xml:space="preserve"> Campbell, 206-213.</w:t>
      </w:r>
    </w:p>
  </w:footnote>
  <w:footnote w:id="12">
    <w:p w14:paraId="3F966CE1" w14:textId="33AD8C9A" w:rsidR="001D2BBD" w:rsidRPr="00550EAD" w:rsidRDefault="001D2BBD">
      <w:pPr>
        <w:pStyle w:val="FootnoteText"/>
      </w:pPr>
      <w:r w:rsidRPr="00550EAD">
        <w:rPr>
          <w:rStyle w:val="FootnoteReference"/>
        </w:rPr>
        <w:footnoteRef/>
      </w:r>
      <w:r>
        <w:t xml:space="preserve"> “Language Log.”</w:t>
      </w:r>
    </w:p>
  </w:footnote>
  <w:footnote w:id="13">
    <w:p w14:paraId="3A575506" w14:textId="5501CEE0" w:rsidR="001D2BBD" w:rsidRDefault="001D2BBD">
      <w:pPr>
        <w:pStyle w:val="FootnoteText"/>
      </w:pPr>
      <w:r>
        <w:rPr>
          <w:rStyle w:val="FootnoteReference"/>
        </w:rPr>
        <w:footnoteRef/>
      </w:r>
      <w:r>
        <w:t xml:space="preserve"> Campbell, 212-213.</w:t>
      </w:r>
    </w:p>
  </w:footnote>
  <w:footnote w:id="14">
    <w:p w14:paraId="777C49A3" w14:textId="149FC02C" w:rsidR="001D2BBD" w:rsidRPr="00550EAD" w:rsidRDefault="001D2BBD" w:rsidP="00BC0639">
      <w:pPr>
        <w:rPr>
          <w:sz w:val="18"/>
          <w:szCs w:val="18"/>
        </w:rPr>
      </w:pPr>
      <w:r w:rsidRPr="00550EAD">
        <w:rPr>
          <w:rStyle w:val="FootnoteReference"/>
          <w:sz w:val="18"/>
          <w:szCs w:val="18"/>
        </w:rPr>
        <w:footnoteRef/>
      </w:r>
      <w:r w:rsidRPr="00550EAD">
        <w:rPr>
          <w:sz w:val="18"/>
          <w:szCs w:val="18"/>
        </w:rPr>
        <w:t xml:space="preserve"> “Unabomber Affidavit Excerpts on Language.” Illinois English. Web. 10 May 2014. &lt;http://www.english.illinois.edu/-people/faculty/debaron/380/380reading/Unabombexcerpts.pdf&gt;.</w:t>
      </w:r>
    </w:p>
  </w:footnote>
  <w:footnote w:id="15">
    <w:p w14:paraId="64E453A8" w14:textId="75F3983F" w:rsidR="001D2BBD" w:rsidRPr="00550EAD" w:rsidRDefault="001D2BBD" w:rsidP="00C84FF1">
      <w:pPr>
        <w:rPr>
          <w:sz w:val="18"/>
          <w:szCs w:val="18"/>
        </w:rPr>
      </w:pPr>
      <w:r w:rsidRPr="00550EAD">
        <w:rPr>
          <w:rStyle w:val="FootnoteReference"/>
          <w:sz w:val="18"/>
          <w:szCs w:val="18"/>
        </w:rPr>
        <w:footnoteRef/>
      </w:r>
      <w:r w:rsidRPr="00550EAD">
        <w:rPr>
          <w:sz w:val="18"/>
          <w:szCs w:val="18"/>
        </w:rPr>
        <w:t xml:space="preserve"> “Analyse/ Analyze, v.” Oxford English Dictionary. Web. 10 May 2014. &lt;http://www.oed.com/view/Entry/7041?rskey=Pjgvb6&amp;result=2&amp;isAdvanced=false#eid&gt;.</w:t>
      </w:r>
    </w:p>
  </w:footnote>
  <w:footnote w:id="16">
    <w:p w14:paraId="3F88961C" w14:textId="3EDDCC2F" w:rsidR="001D2BBD" w:rsidRPr="00550EAD" w:rsidRDefault="001D2BBD" w:rsidP="00C84FF1">
      <w:pPr>
        <w:rPr>
          <w:sz w:val="18"/>
          <w:szCs w:val="18"/>
        </w:rPr>
      </w:pPr>
      <w:r w:rsidRPr="00550EAD">
        <w:rPr>
          <w:rStyle w:val="FootnoteReference"/>
          <w:sz w:val="18"/>
          <w:szCs w:val="18"/>
        </w:rPr>
        <w:footnoteRef/>
      </w:r>
      <w:r w:rsidRPr="00550EAD">
        <w:rPr>
          <w:sz w:val="18"/>
          <w:szCs w:val="18"/>
        </w:rPr>
        <w:t xml:space="preserve"> “Analyse (v).” Online Etymology Dictionary. Web. 9 May 2014. &lt;http://www.etymonline.com/index.php?term=analyse&gt;.</w:t>
      </w:r>
    </w:p>
    <w:p w14:paraId="3312D210" w14:textId="60DD51B3" w:rsidR="001D2BBD" w:rsidRPr="00550EAD" w:rsidRDefault="001D2BBD">
      <w:pPr>
        <w:pStyle w:val="FootnoteText"/>
      </w:pPr>
    </w:p>
  </w:footnote>
  <w:footnote w:id="17">
    <w:p w14:paraId="68673639" w14:textId="77777777" w:rsidR="001D2BBD" w:rsidRPr="008444BF" w:rsidRDefault="001D2BBD">
      <w:pPr>
        <w:pStyle w:val="FootnoteText"/>
      </w:pPr>
      <w:r w:rsidRPr="008444BF">
        <w:rPr>
          <w:rStyle w:val="FootnoteReference"/>
        </w:rPr>
        <w:footnoteRef/>
      </w:r>
      <w:r w:rsidRPr="008444BF">
        <w:t xml:space="preserve"> Readers may be interested to learn that, when the distinction is between -</w:t>
      </w:r>
      <w:r w:rsidRPr="008444BF">
        <w:rPr>
          <w:i/>
        </w:rPr>
        <w:t>ise</w:t>
      </w:r>
      <w:r w:rsidRPr="008444BF">
        <w:t xml:space="preserve"> and -</w:t>
      </w:r>
      <w:r w:rsidRPr="008444BF">
        <w:rPr>
          <w:i/>
        </w:rPr>
        <w:t>ize</w:t>
      </w:r>
      <w:r w:rsidRPr="008444BF">
        <w:t xml:space="preserve"> (as in “organise”/ “organize”), the -</w:t>
      </w:r>
      <w:r w:rsidRPr="008444BF">
        <w:rPr>
          <w:i/>
        </w:rPr>
        <w:t>ize</w:t>
      </w:r>
      <w:r w:rsidRPr="008444BF">
        <w:t xml:space="preserve"> spelling is actually etymologically correct, since the origin in these cases is not “lysis” but the Greek suffix </w:t>
      </w:r>
    </w:p>
    <w:p w14:paraId="643127F4" w14:textId="5A981DE5" w:rsidR="001D2BBD" w:rsidRPr="008444BF" w:rsidRDefault="001D2BBD">
      <w:pPr>
        <w:pStyle w:val="FootnoteText"/>
      </w:pPr>
      <w:r w:rsidRPr="008444BF">
        <w:t>-</w:t>
      </w:r>
      <w:r w:rsidRPr="008444BF">
        <w:rPr>
          <w:i/>
        </w:rPr>
        <w:t>ιζειν</w:t>
      </w:r>
      <w:r w:rsidRPr="008444BF">
        <w:t>, Latin -</w:t>
      </w:r>
      <w:r w:rsidRPr="008444BF">
        <w:rPr>
          <w:i/>
        </w:rPr>
        <w:t>izāre</w:t>
      </w:r>
      <w:r w:rsidRPr="008444BF">
        <w:t>.</w:t>
      </w:r>
    </w:p>
  </w:footnote>
  <w:footnote w:id="18">
    <w:p w14:paraId="5BB0C415" w14:textId="1031FC88" w:rsidR="001D2BBD" w:rsidRPr="008444BF" w:rsidRDefault="001D2BBD" w:rsidP="008444BF">
      <w:pPr>
        <w:rPr>
          <w:sz w:val="18"/>
          <w:szCs w:val="18"/>
        </w:rPr>
      </w:pPr>
      <w:r w:rsidRPr="008444BF">
        <w:rPr>
          <w:rStyle w:val="FootnoteReference"/>
          <w:sz w:val="18"/>
          <w:szCs w:val="18"/>
        </w:rPr>
        <w:footnoteRef/>
      </w:r>
      <w:r w:rsidRPr="008444BF">
        <w:rPr>
          <w:sz w:val="18"/>
          <w:szCs w:val="18"/>
        </w:rPr>
        <w:t xml:space="preserve"> Upward, Christopher, and George Davidson. </w:t>
      </w:r>
      <w:r w:rsidRPr="008444BF">
        <w:rPr>
          <w:i/>
          <w:sz w:val="18"/>
          <w:szCs w:val="18"/>
        </w:rPr>
        <w:t>The History of English Spelling</w:t>
      </w:r>
      <w:r w:rsidRPr="008444BF">
        <w:rPr>
          <w:sz w:val="18"/>
          <w:szCs w:val="18"/>
        </w:rPr>
        <w:t>. Malden, MA: Wiley-Blackwell, 2011. Print.</w:t>
      </w:r>
      <w:r>
        <w:rPr>
          <w:sz w:val="18"/>
          <w:szCs w:val="18"/>
        </w:rPr>
        <w:t xml:space="preserve"> p. 89.</w:t>
      </w:r>
    </w:p>
  </w:footnote>
  <w:footnote w:id="19">
    <w:p w14:paraId="2EDC872E" w14:textId="7E257165" w:rsidR="001D2BBD" w:rsidRPr="00550EAD" w:rsidRDefault="001D2BBD" w:rsidP="00873301">
      <w:pPr>
        <w:rPr>
          <w:sz w:val="18"/>
          <w:szCs w:val="18"/>
        </w:rPr>
      </w:pPr>
      <w:r w:rsidRPr="00550EAD">
        <w:rPr>
          <w:rStyle w:val="FootnoteReference"/>
          <w:sz w:val="18"/>
          <w:szCs w:val="18"/>
        </w:rPr>
        <w:footnoteRef/>
      </w:r>
      <w:r w:rsidRPr="00550EAD">
        <w:rPr>
          <w:sz w:val="18"/>
          <w:szCs w:val="18"/>
        </w:rPr>
        <w:t xml:space="preserve"> “Licence, n.” Oxford Englis</w:t>
      </w:r>
      <w:r w:rsidR="00161F1F">
        <w:rPr>
          <w:sz w:val="18"/>
          <w:szCs w:val="18"/>
        </w:rPr>
        <w:t xml:space="preserve">h Dictionary. Web. 10 May 2014. </w:t>
      </w:r>
      <w:r w:rsidRPr="00550EAD">
        <w:rPr>
          <w:sz w:val="18"/>
          <w:szCs w:val="18"/>
        </w:rPr>
        <w:t>&lt;http://www.oed.com/view/Entry/107943#eid39414049&gt;</w:t>
      </w:r>
    </w:p>
  </w:footnote>
  <w:footnote w:id="20">
    <w:p w14:paraId="74E30C9C" w14:textId="5AFD8F35" w:rsidR="001D2BBD" w:rsidRPr="00550EAD" w:rsidRDefault="001D2BBD" w:rsidP="00873301">
      <w:pPr>
        <w:rPr>
          <w:sz w:val="18"/>
          <w:szCs w:val="18"/>
        </w:rPr>
      </w:pPr>
      <w:r w:rsidRPr="00550EAD">
        <w:rPr>
          <w:rStyle w:val="FootnoteReference"/>
          <w:sz w:val="18"/>
          <w:szCs w:val="18"/>
        </w:rPr>
        <w:footnoteRef/>
      </w:r>
      <w:r w:rsidRPr="00550EAD">
        <w:rPr>
          <w:sz w:val="18"/>
          <w:szCs w:val="18"/>
        </w:rPr>
        <w:t xml:space="preserve"> “Wilful vs. Willful.” </w:t>
      </w:r>
      <w:r w:rsidRPr="00550EAD">
        <w:rPr>
          <w:i/>
          <w:sz w:val="18"/>
          <w:szCs w:val="18"/>
        </w:rPr>
        <w:t>Grammarist</w:t>
      </w:r>
      <w:r w:rsidRPr="00550EAD">
        <w:rPr>
          <w:sz w:val="18"/>
          <w:szCs w:val="18"/>
        </w:rPr>
        <w:t>. Web. 10 May 2014.  &lt;http://grammarist.com/spelling/wilful-willful/&gt;.</w:t>
      </w:r>
    </w:p>
  </w:footnote>
  <w:footnote w:id="21">
    <w:p w14:paraId="33B5A812" w14:textId="28803A46" w:rsidR="001D2BBD" w:rsidRPr="00550EAD" w:rsidRDefault="001D2BBD" w:rsidP="00873301">
      <w:pPr>
        <w:rPr>
          <w:sz w:val="18"/>
          <w:szCs w:val="18"/>
        </w:rPr>
      </w:pPr>
      <w:r w:rsidRPr="00550EAD">
        <w:rPr>
          <w:rStyle w:val="FootnoteReference"/>
          <w:sz w:val="18"/>
          <w:szCs w:val="18"/>
        </w:rPr>
        <w:footnoteRef/>
      </w:r>
      <w:r w:rsidRPr="00550EAD">
        <w:rPr>
          <w:sz w:val="18"/>
          <w:szCs w:val="18"/>
        </w:rPr>
        <w:t xml:space="preserve"> “American Dictionary of the English Language.” Webster</w:t>
      </w:r>
      <w:r>
        <w:rPr>
          <w:sz w:val="18"/>
          <w:szCs w:val="18"/>
        </w:rPr>
        <w:t>’</w:t>
      </w:r>
      <w:r w:rsidRPr="00550EAD">
        <w:rPr>
          <w:sz w:val="18"/>
          <w:szCs w:val="18"/>
        </w:rPr>
        <w:t>s Dictionary 1828. Web. 13 May 2014. &lt;http://webstersdictionary1828.com/&gt;.</w:t>
      </w:r>
    </w:p>
    <w:p w14:paraId="1840EA95" w14:textId="36FD785A" w:rsidR="001D2BBD" w:rsidRPr="00550EAD" w:rsidRDefault="001D2BBD">
      <w:pPr>
        <w:pStyle w:val="FootnoteText"/>
      </w:pPr>
    </w:p>
  </w:footnote>
  <w:footnote w:id="22">
    <w:p w14:paraId="6C8A9EF4" w14:textId="5F1E3AF4" w:rsidR="001D2BBD" w:rsidRDefault="001D2BBD">
      <w:pPr>
        <w:pStyle w:val="FootnoteText"/>
      </w:pPr>
      <w:r>
        <w:rPr>
          <w:rStyle w:val="FootnoteReference"/>
        </w:rPr>
        <w:footnoteRef/>
      </w:r>
      <w:r>
        <w:t xml:space="preserve"> Campbell, p. 215.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CFF"/>
    <w:rsid w:val="00062486"/>
    <w:rsid w:val="000E2E48"/>
    <w:rsid w:val="000F6200"/>
    <w:rsid w:val="000F74B6"/>
    <w:rsid w:val="001016DF"/>
    <w:rsid w:val="00106882"/>
    <w:rsid w:val="00134329"/>
    <w:rsid w:val="00161F1F"/>
    <w:rsid w:val="00183B2B"/>
    <w:rsid w:val="001D2BBD"/>
    <w:rsid w:val="001E0BC9"/>
    <w:rsid w:val="0024397A"/>
    <w:rsid w:val="002719A3"/>
    <w:rsid w:val="00272494"/>
    <w:rsid w:val="002A06A5"/>
    <w:rsid w:val="002A198B"/>
    <w:rsid w:val="00315E55"/>
    <w:rsid w:val="003176E3"/>
    <w:rsid w:val="00324635"/>
    <w:rsid w:val="00332CAB"/>
    <w:rsid w:val="0034517D"/>
    <w:rsid w:val="00397535"/>
    <w:rsid w:val="003A3349"/>
    <w:rsid w:val="003A7422"/>
    <w:rsid w:val="003B0625"/>
    <w:rsid w:val="003B6C4D"/>
    <w:rsid w:val="003C6F3F"/>
    <w:rsid w:val="0046073E"/>
    <w:rsid w:val="0046091A"/>
    <w:rsid w:val="00463032"/>
    <w:rsid w:val="004725E7"/>
    <w:rsid w:val="004828F2"/>
    <w:rsid w:val="00483637"/>
    <w:rsid w:val="00497260"/>
    <w:rsid w:val="004C29F0"/>
    <w:rsid w:val="004C355B"/>
    <w:rsid w:val="0050343C"/>
    <w:rsid w:val="005434A8"/>
    <w:rsid w:val="00550EAD"/>
    <w:rsid w:val="005754E0"/>
    <w:rsid w:val="00577674"/>
    <w:rsid w:val="00592400"/>
    <w:rsid w:val="005B7E62"/>
    <w:rsid w:val="005D24FA"/>
    <w:rsid w:val="006070A9"/>
    <w:rsid w:val="0061660B"/>
    <w:rsid w:val="0065191A"/>
    <w:rsid w:val="006604F2"/>
    <w:rsid w:val="006752EC"/>
    <w:rsid w:val="006911FF"/>
    <w:rsid w:val="00693D81"/>
    <w:rsid w:val="006F52DC"/>
    <w:rsid w:val="00737E0C"/>
    <w:rsid w:val="00740CDE"/>
    <w:rsid w:val="00802941"/>
    <w:rsid w:val="00805087"/>
    <w:rsid w:val="008255F1"/>
    <w:rsid w:val="00830365"/>
    <w:rsid w:val="00835E42"/>
    <w:rsid w:val="008444BF"/>
    <w:rsid w:val="00852D55"/>
    <w:rsid w:val="00873301"/>
    <w:rsid w:val="00875491"/>
    <w:rsid w:val="00893B20"/>
    <w:rsid w:val="00895201"/>
    <w:rsid w:val="008B6091"/>
    <w:rsid w:val="008E429C"/>
    <w:rsid w:val="009103A3"/>
    <w:rsid w:val="00911BD2"/>
    <w:rsid w:val="0091508E"/>
    <w:rsid w:val="009249D1"/>
    <w:rsid w:val="0093126A"/>
    <w:rsid w:val="00974850"/>
    <w:rsid w:val="009A2BE9"/>
    <w:rsid w:val="009B03B9"/>
    <w:rsid w:val="009B566B"/>
    <w:rsid w:val="009F2D2C"/>
    <w:rsid w:val="00A15CFF"/>
    <w:rsid w:val="00A4187D"/>
    <w:rsid w:val="00AB71B1"/>
    <w:rsid w:val="00AD4D7B"/>
    <w:rsid w:val="00AE76A2"/>
    <w:rsid w:val="00AE7D45"/>
    <w:rsid w:val="00B00C0A"/>
    <w:rsid w:val="00B03D2A"/>
    <w:rsid w:val="00B21CAB"/>
    <w:rsid w:val="00B23523"/>
    <w:rsid w:val="00B25753"/>
    <w:rsid w:val="00B32633"/>
    <w:rsid w:val="00B71220"/>
    <w:rsid w:val="00BC0639"/>
    <w:rsid w:val="00BE1675"/>
    <w:rsid w:val="00BE76E2"/>
    <w:rsid w:val="00C11FDC"/>
    <w:rsid w:val="00C16778"/>
    <w:rsid w:val="00C461B4"/>
    <w:rsid w:val="00C51AE6"/>
    <w:rsid w:val="00C56591"/>
    <w:rsid w:val="00C84FF1"/>
    <w:rsid w:val="00CA045C"/>
    <w:rsid w:val="00CA28D0"/>
    <w:rsid w:val="00CA6A8C"/>
    <w:rsid w:val="00CB13EB"/>
    <w:rsid w:val="00CC5E67"/>
    <w:rsid w:val="00CC7EE2"/>
    <w:rsid w:val="00CF1824"/>
    <w:rsid w:val="00CF672F"/>
    <w:rsid w:val="00D31511"/>
    <w:rsid w:val="00D404D0"/>
    <w:rsid w:val="00D4669A"/>
    <w:rsid w:val="00D5662A"/>
    <w:rsid w:val="00D70552"/>
    <w:rsid w:val="00D909B7"/>
    <w:rsid w:val="00D909F2"/>
    <w:rsid w:val="00D91049"/>
    <w:rsid w:val="00D97768"/>
    <w:rsid w:val="00DB5677"/>
    <w:rsid w:val="00DB725A"/>
    <w:rsid w:val="00DE30FE"/>
    <w:rsid w:val="00E30E29"/>
    <w:rsid w:val="00E32E9C"/>
    <w:rsid w:val="00E746FA"/>
    <w:rsid w:val="00E93423"/>
    <w:rsid w:val="00EA2A0A"/>
    <w:rsid w:val="00ED0757"/>
    <w:rsid w:val="00EE361C"/>
    <w:rsid w:val="00EF2695"/>
    <w:rsid w:val="00F11FBF"/>
    <w:rsid w:val="00F720C2"/>
    <w:rsid w:val="00FA2580"/>
    <w:rsid w:val="00FC3B1A"/>
    <w:rsid w:val="00FF7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FBC7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D24FA"/>
    <w:pPr>
      <w:snapToGrid w:val="0"/>
    </w:pPr>
    <w:rPr>
      <w:sz w:val="18"/>
      <w:szCs w:val="18"/>
    </w:rPr>
  </w:style>
  <w:style w:type="character" w:customStyle="1" w:styleId="FootnoteTextChar">
    <w:name w:val="Footnote Text Char"/>
    <w:basedOn w:val="DefaultParagraphFont"/>
    <w:link w:val="FootnoteText"/>
    <w:uiPriority w:val="99"/>
    <w:rsid w:val="005D24FA"/>
    <w:rPr>
      <w:sz w:val="18"/>
      <w:szCs w:val="18"/>
    </w:rPr>
  </w:style>
  <w:style w:type="character" w:styleId="FootnoteReference">
    <w:name w:val="footnote reference"/>
    <w:basedOn w:val="DefaultParagraphFont"/>
    <w:uiPriority w:val="99"/>
    <w:unhideWhenUsed/>
    <w:rsid w:val="005D24FA"/>
    <w:rPr>
      <w:vertAlign w:val="superscript"/>
    </w:rPr>
  </w:style>
  <w:style w:type="character" w:styleId="Hyperlink">
    <w:name w:val="Hyperlink"/>
    <w:basedOn w:val="DefaultParagraphFont"/>
    <w:uiPriority w:val="99"/>
    <w:semiHidden/>
    <w:unhideWhenUsed/>
    <w:rsid w:val="005D24FA"/>
    <w:rPr>
      <w:color w:val="0000FF"/>
      <w:u w:val="single"/>
    </w:rPr>
  </w:style>
  <w:style w:type="character" w:customStyle="1" w:styleId="apple-converted-space">
    <w:name w:val="apple-converted-space"/>
    <w:basedOn w:val="DefaultParagraphFont"/>
    <w:rsid w:val="005D24FA"/>
  </w:style>
  <w:style w:type="character" w:customStyle="1" w:styleId="bibliography1">
    <w:name w:val="bibliography1"/>
    <w:basedOn w:val="DefaultParagraphFont"/>
    <w:rsid w:val="005D24FA"/>
  </w:style>
  <w:style w:type="paragraph" w:styleId="Header">
    <w:name w:val="header"/>
    <w:basedOn w:val="Normal"/>
    <w:link w:val="HeaderChar"/>
    <w:uiPriority w:val="99"/>
    <w:unhideWhenUsed/>
    <w:rsid w:val="003B062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3B0625"/>
    <w:rPr>
      <w:sz w:val="18"/>
      <w:szCs w:val="18"/>
    </w:rPr>
  </w:style>
  <w:style w:type="paragraph" w:styleId="Footer">
    <w:name w:val="footer"/>
    <w:basedOn w:val="Normal"/>
    <w:link w:val="FooterChar"/>
    <w:uiPriority w:val="99"/>
    <w:unhideWhenUsed/>
    <w:rsid w:val="003B062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3B0625"/>
    <w:rPr>
      <w:sz w:val="18"/>
      <w:szCs w:val="18"/>
    </w:rPr>
  </w:style>
  <w:style w:type="character" w:styleId="Emphasis">
    <w:name w:val="Emphasis"/>
    <w:basedOn w:val="DefaultParagraphFont"/>
    <w:uiPriority w:val="20"/>
    <w:qFormat/>
    <w:rsid w:val="00DB725A"/>
    <w:rPr>
      <w:i/>
      <w:iCs/>
    </w:rPr>
  </w:style>
  <w:style w:type="character" w:customStyle="1" w:styleId="smallcaps">
    <w:name w:val="smallcaps"/>
    <w:basedOn w:val="DefaultParagraphFont"/>
    <w:rsid w:val="00DB725A"/>
  </w:style>
  <w:style w:type="character" w:customStyle="1" w:styleId="ps">
    <w:name w:val="ps"/>
    <w:basedOn w:val="DefaultParagraphFont"/>
    <w:rsid w:val="00DB725A"/>
  </w:style>
  <w:style w:type="character" w:styleId="PageNumber">
    <w:name w:val="page number"/>
    <w:basedOn w:val="DefaultParagraphFont"/>
    <w:uiPriority w:val="99"/>
    <w:semiHidden/>
    <w:unhideWhenUsed/>
    <w:rsid w:val="006519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D24FA"/>
    <w:pPr>
      <w:snapToGrid w:val="0"/>
    </w:pPr>
    <w:rPr>
      <w:sz w:val="18"/>
      <w:szCs w:val="18"/>
    </w:rPr>
  </w:style>
  <w:style w:type="character" w:customStyle="1" w:styleId="FootnoteTextChar">
    <w:name w:val="Footnote Text Char"/>
    <w:basedOn w:val="DefaultParagraphFont"/>
    <w:link w:val="FootnoteText"/>
    <w:uiPriority w:val="99"/>
    <w:rsid w:val="005D24FA"/>
    <w:rPr>
      <w:sz w:val="18"/>
      <w:szCs w:val="18"/>
    </w:rPr>
  </w:style>
  <w:style w:type="character" w:styleId="FootnoteReference">
    <w:name w:val="footnote reference"/>
    <w:basedOn w:val="DefaultParagraphFont"/>
    <w:uiPriority w:val="99"/>
    <w:unhideWhenUsed/>
    <w:rsid w:val="005D24FA"/>
    <w:rPr>
      <w:vertAlign w:val="superscript"/>
    </w:rPr>
  </w:style>
  <w:style w:type="character" w:styleId="Hyperlink">
    <w:name w:val="Hyperlink"/>
    <w:basedOn w:val="DefaultParagraphFont"/>
    <w:uiPriority w:val="99"/>
    <w:semiHidden/>
    <w:unhideWhenUsed/>
    <w:rsid w:val="005D24FA"/>
    <w:rPr>
      <w:color w:val="0000FF"/>
      <w:u w:val="single"/>
    </w:rPr>
  </w:style>
  <w:style w:type="character" w:customStyle="1" w:styleId="apple-converted-space">
    <w:name w:val="apple-converted-space"/>
    <w:basedOn w:val="DefaultParagraphFont"/>
    <w:rsid w:val="005D24FA"/>
  </w:style>
  <w:style w:type="character" w:customStyle="1" w:styleId="bibliography1">
    <w:name w:val="bibliography1"/>
    <w:basedOn w:val="DefaultParagraphFont"/>
    <w:rsid w:val="005D24FA"/>
  </w:style>
  <w:style w:type="paragraph" w:styleId="Header">
    <w:name w:val="header"/>
    <w:basedOn w:val="Normal"/>
    <w:link w:val="HeaderChar"/>
    <w:uiPriority w:val="99"/>
    <w:unhideWhenUsed/>
    <w:rsid w:val="003B062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3B0625"/>
    <w:rPr>
      <w:sz w:val="18"/>
      <w:szCs w:val="18"/>
    </w:rPr>
  </w:style>
  <w:style w:type="paragraph" w:styleId="Footer">
    <w:name w:val="footer"/>
    <w:basedOn w:val="Normal"/>
    <w:link w:val="FooterChar"/>
    <w:uiPriority w:val="99"/>
    <w:unhideWhenUsed/>
    <w:rsid w:val="003B0625"/>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3B0625"/>
    <w:rPr>
      <w:sz w:val="18"/>
      <w:szCs w:val="18"/>
    </w:rPr>
  </w:style>
  <w:style w:type="character" w:styleId="Emphasis">
    <w:name w:val="Emphasis"/>
    <w:basedOn w:val="DefaultParagraphFont"/>
    <w:uiPriority w:val="20"/>
    <w:qFormat/>
    <w:rsid w:val="00DB725A"/>
    <w:rPr>
      <w:i/>
      <w:iCs/>
    </w:rPr>
  </w:style>
  <w:style w:type="character" w:customStyle="1" w:styleId="smallcaps">
    <w:name w:val="smallcaps"/>
    <w:basedOn w:val="DefaultParagraphFont"/>
    <w:rsid w:val="00DB725A"/>
  </w:style>
  <w:style w:type="character" w:customStyle="1" w:styleId="ps">
    <w:name w:val="ps"/>
    <w:basedOn w:val="DefaultParagraphFont"/>
    <w:rsid w:val="00DB725A"/>
  </w:style>
  <w:style w:type="character" w:styleId="PageNumber">
    <w:name w:val="page number"/>
    <w:basedOn w:val="DefaultParagraphFont"/>
    <w:uiPriority w:val="99"/>
    <w:semiHidden/>
    <w:unhideWhenUsed/>
    <w:rsid w:val="00651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62481">
      <w:bodyDiv w:val="1"/>
      <w:marLeft w:val="0"/>
      <w:marRight w:val="0"/>
      <w:marTop w:val="0"/>
      <w:marBottom w:val="0"/>
      <w:divBdr>
        <w:top w:val="none" w:sz="0" w:space="0" w:color="auto"/>
        <w:left w:val="none" w:sz="0" w:space="0" w:color="auto"/>
        <w:bottom w:val="none" w:sz="0" w:space="0" w:color="auto"/>
        <w:right w:val="none" w:sz="0" w:space="0" w:color="auto"/>
      </w:divBdr>
    </w:div>
    <w:div w:id="491410516">
      <w:bodyDiv w:val="1"/>
      <w:marLeft w:val="0"/>
      <w:marRight w:val="0"/>
      <w:marTop w:val="0"/>
      <w:marBottom w:val="0"/>
      <w:divBdr>
        <w:top w:val="none" w:sz="0" w:space="0" w:color="auto"/>
        <w:left w:val="none" w:sz="0" w:space="0" w:color="auto"/>
        <w:bottom w:val="none" w:sz="0" w:space="0" w:color="auto"/>
        <w:right w:val="none" w:sz="0" w:space="0" w:color="auto"/>
      </w:divBdr>
    </w:div>
    <w:div w:id="544561845">
      <w:bodyDiv w:val="1"/>
      <w:marLeft w:val="0"/>
      <w:marRight w:val="0"/>
      <w:marTop w:val="0"/>
      <w:marBottom w:val="0"/>
      <w:divBdr>
        <w:top w:val="none" w:sz="0" w:space="0" w:color="auto"/>
        <w:left w:val="none" w:sz="0" w:space="0" w:color="auto"/>
        <w:bottom w:val="none" w:sz="0" w:space="0" w:color="auto"/>
        <w:right w:val="none" w:sz="0" w:space="0" w:color="auto"/>
      </w:divBdr>
    </w:div>
    <w:div w:id="1044253053">
      <w:bodyDiv w:val="1"/>
      <w:marLeft w:val="0"/>
      <w:marRight w:val="0"/>
      <w:marTop w:val="0"/>
      <w:marBottom w:val="0"/>
      <w:divBdr>
        <w:top w:val="none" w:sz="0" w:space="0" w:color="auto"/>
        <w:left w:val="none" w:sz="0" w:space="0" w:color="auto"/>
        <w:bottom w:val="none" w:sz="0" w:space="0" w:color="auto"/>
        <w:right w:val="none" w:sz="0" w:space="0" w:color="auto"/>
      </w:divBdr>
    </w:div>
    <w:div w:id="1143156199">
      <w:bodyDiv w:val="1"/>
      <w:marLeft w:val="0"/>
      <w:marRight w:val="0"/>
      <w:marTop w:val="0"/>
      <w:marBottom w:val="0"/>
      <w:divBdr>
        <w:top w:val="none" w:sz="0" w:space="0" w:color="auto"/>
        <w:left w:val="none" w:sz="0" w:space="0" w:color="auto"/>
        <w:bottom w:val="none" w:sz="0" w:space="0" w:color="auto"/>
        <w:right w:val="none" w:sz="0" w:space="0" w:color="auto"/>
      </w:divBdr>
    </w:div>
    <w:div w:id="1345134438">
      <w:bodyDiv w:val="1"/>
      <w:marLeft w:val="0"/>
      <w:marRight w:val="0"/>
      <w:marTop w:val="0"/>
      <w:marBottom w:val="0"/>
      <w:divBdr>
        <w:top w:val="none" w:sz="0" w:space="0" w:color="auto"/>
        <w:left w:val="none" w:sz="0" w:space="0" w:color="auto"/>
        <w:bottom w:val="none" w:sz="0" w:space="0" w:color="auto"/>
        <w:right w:val="none" w:sz="0" w:space="0" w:color="auto"/>
      </w:divBdr>
    </w:div>
    <w:div w:id="1374578462">
      <w:bodyDiv w:val="1"/>
      <w:marLeft w:val="0"/>
      <w:marRight w:val="0"/>
      <w:marTop w:val="0"/>
      <w:marBottom w:val="0"/>
      <w:divBdr>
        <w:top w:val="none" w:sz="0" w:space="0" w:color="auto"/>
        <w:left w:val="none" w:sz="0" w:space="0" w:color="auto"/>
        <w:bottom w:val="none" w:sz="0" w:space="0" w:color="auto"/>
        <w:right w:val="none" w:sz="0" w:space="0" w:color="auto"/>
      </w:divBdr>
    </w:div>
    <w:div w:id="1431045867">
      <w:bodyDiv w:val="1"/>
      <w:marLeft w:val="0"/>
      <w:marRight w:val="0"/>
      <w:marTop w:val="0"/>
      <w:marBottom w:val="0"/>
      <w:divBdr>
        <w:top w:val="none" w:sz="0" w:space="0" w:color="auto"/>
        <w:left w:val="none" w:sz="0" w:space="0" w:color="auto"/>
        <w:bottom w:val="none" w:sz="0" w:space="0" w:color="auto"/>
        <w:right w:val="none" w:sz="0" w:space="0" w:color="auto"/>
      </w:divBdr>
    </w:div>
    <w:div w:id="1437939966">
      <w:bodyDiv w:val="1"/>
      <w:marLeft w:val="0"/>
      <w:marRight w:val="0"/>
      <w:marTop w:val="0"/>
      <w:marBottom w:val="0"/>
      <w:divBdr>
        <w:top w:val="none" w:sz="0" w:space="0" w:color="auto"/>
        <w:left w:val="none" w:sz="0" w:space="0" w:color="auto"/>
        <w:bottom w:val="none" w:sz="0" w:space="0" w:color="auto"/>
        <w:right w:val="none" w:sz="0" w:space="0" w:color="auto"/>
      </w:divBdr>
    </w:div>
    <w:div w:id="1514219762">
      <w:bodyDiv w:val="1"/>
      <w:marLeft w:val="0"/>
      <w:marRight w:val="0"/>
      <w:marTop w:val="0"/>
      <w:marBottom w:val="0"/>
      <w:divBdr>
        <w:top w:val="none" w:sz="0" w:space="0" w:color="auto"/>
        <w:left w:val="none" w:sz="0" w:space="0" w:color="auto"/>
        <w:bottom w:val="none" w:sz="0" w:space="0" w:color="auto"/>
        <w:right w:val="none" w:sz="0" w:space="0" w:color="auto"/>
      </w:divBdr>
    </w:div>
    <w:div w:id="1764644471">
      <w:bodyDiv w:val="1"/>
      <w:marLeft w:val="0"/>
      <w:marRight w:val="0"/>
      <w:marTop w:val="0"/>
      <w:marBottom w:val="0"/>
      <w:divBdr>
        <w:top w:val="none" w:sz="0" w:space="0" w:color="auto"/>
        <w:left w:val="none" w:sz="0" w:space="0" w:color="auto"/>
        <w:bottom w:val="none" w:sz="0" w:space="0" w:color="auto"/>
        <w:right w:val="none" w:sz="0" w:space="0" w:color="auto"/>
      </w:divBdr>
    </w:div>
    <w:div w:id="1901861062">
      <w:bodyDiv w:val="1"/>
      <w:marLeft w:val="0"/>
      <w:marRight w:val="0"/>
      <w:marTop w:val="0"/>
      <w:marBottom w:val="0"/>
      <w:divBdr>
        <w:top w:val="none" w:sz="0" w:space="0" w:color="auto"/>
        <w:left w:val="none" w:sz="0" w:space="0" w:color="auto"/>
        <w:bottom w:val="none" w:sz="0" w:space="0" w:color="auto"/>
        <w:right w:val="none" w:sz="0" w:space="0" w:color="auto"/>
      </w:divBdr>
    </w:div>
    <w:div w:id="1958949398">
      <w:bodyDiv w:val="1"/>
      <w:marLeft w:val="0"/>
      <w:marRight w:val="0"/>
      <w:marTop w:val="0"/>
      <w:marBottom w:val="0"/>
      <w:divBdr>
        <w:top w:val="none" w:sz="0" w:space="0" w:color="auto"/>
        <w:left w:val="none" w:sz="0" w:space="0" w:color="auto"/>
        <w:bottom w:val="none" w:sz="0" w:space="0" w:color="auto"/>
        <w:right w:val="none" w:sz="0" w:space="0" w:color="auto"/>
      </w:divBdr>
    </w:div>
    <w:div w:id="2094663252">
      <w:bodyDiv w:val="1"/>
      <w:marLeft w:val="0"/>
      <w:marRight w:val="0"/>
      <w:marTop w:val="0"/>
      <w:marBottom w:val="0"/>
      <w:divBdr>
        <w:top w:val="none" w:sz="0" w:space="0" w:color="auto"/>
        <w:left w:val="none" w:sz="0" w:space="0" w:color="auto"/>
        <w:bottom w:val="none" w:sz="0" w:space="0" w:color="auto"/>
        <w:right w:val="none" w:sz="0" w:space="0" w:color="auto"/>
      </w:divBdr>
    </w:div>
    <w:div w:id="2101098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14</Pages>
  <Words>2860</Words>
  <Characters>16308</Characters>
  <Application>Microsoft Macintosh Word</Application>
  <DocSecurity>0</DocSecurity>
  <Lines>135</Lines>
  <Paragraphs>38</Paragraphs>
  <ScaleCrop>false</ScaleCrop>
  <Company/>
  <LinksUpToDate>false</LinksUpToDate>
  <CharactersWithSpaces>19130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Hirsh</dc:creator>
  <cp:keywords/>
  <dc:description/>
  <cp:lastModifiedBy>Hannah Hirsh</cp:lastModifiedBy>
  <cp:revision>39</cp:revision>
  <cp:lastPrinted>2014-05-13T21:33:00Z</cp:lastPrinted>
  <dcterms:created xsi:type="dcterms:W3CDTF">2014-05-12T20:42:00Z</dcterms:created>
  <dcterms:modified xsi:type="dcterms:W3CDTF">2014-05-13T22:23:00Z</dcterms:modified>
</cp:coreProperties>
</file>