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5.1 Performance testing</w:t>
      </w:r>
    </w:p>
    <w:p>
      <w:pPr>
        <w:pStyle w:val="Compact"/>
      </w:pPr>
      <w:r>
        <w:t xml:space="preserve">5.1.1 Data quality</w:t>
      </w:r>
    </w:p>
    <w:p>
      <w:pPr>
        <w:pStyle w:val="BodyText"/>
      </w:pPr>
      <w:r>
        <w:t xml:space="preserve">In data quality analysis, we focussed on assessing whether the data used in input of the model (e.g., data from systems and databases) are reliable. Following tests are performed:</w:t>
      </w:r>
      <w:r>
        <w:t xml:space="preserve"> </w:t>
      </w:r>
      <w:r>
        <w:t xml:space="preserve">1) Missing values</w:t>
      </w:r>
      <w:r>
        <w:t xml:space="preserve"> </w:t>
      </w:r>
      <w:r>
        <w:t xml:space="preserve">2) Descriptive statistics</w:t>
      </w:r>
    </w:p>
    <w:p>
      <w:pPr>
        <w:pStyle w:val="BodyText"/>
      </w:pPr>
      <w:r>
        <w:t xml:space="preserve">Missing values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mrfytdocc</w:t>
            </w:r>
          </w:p>
        </w:tc>
        <w:tc>
          <w:p>
            <w:pPr>
              <w:pStyle w:val="Compact"/>
              <w:jc w:val="left"/>
            </w:pPr>
            <w:r>
              <w:t xml:space="preserve">42.87%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priorfyocc</w:t>
            </w:r>
          </w:p>
        </w:tc>
        <w:tc>
          <w:p>
            <w:pPr>
              <w:pStyle w:val="Compact"/>
              <w:jc w:val="left"/>
            </w:pPr>
            <w:r>
              <w:t xml:space="preserve">25.28%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priorfydscr</w:t>
            </w:r>
          </w:p>
        </w:tc>
        <w:tc>
          <w:p>
            <w:pPr>
              <w:pStyle w:val="Compact"/>
              <w:jc w:val="left"/>
            </w:pPr>
            <w:r>
              <w:t xml:space="preserve">21.82%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debt_yield_p1</w:t>
            </w:r>
          </w:p>
        </w:tc>
        <w:tc>
          <w:p>
            <w:pPr>
              <w:pStyle w:val="Compact"/>
              <w:jc w:val="left"/>
            </w:pPr>
            <w:r>
              <w:t xml:space="preserve">17.51%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OLTV</w:t>
            </w:r>
          </w:p>
        </w:tc>
        <w:tc>
          <w:p>
            <w:pPr>
              <w:pStyle w:val="Compact"/>
              <w:jc w:val="left"/>
            </w:pPr>
            <w:r>
              <w:t xml:space="preserve">3.4%</w:t>
            </w:r>
          </w:p>
        </w:tc>
      </w:tr>
    </w:tbl>
    <w:p>
      <w:pPr>
        <w:pStyle w:val="BodyText"/>
      </w:pPr>
      <w:r>
        <w:t xml:space="preserve">Descriptive statistics</w:t>
      </w:r>
    </w:p>
    <w:tbl>
      <w:tblPr>
        <w:tblStyle w:val="Table"/>
        <w:tblW w:type="pct" w:w="5000.0"/>
        <w:tblLook w:firstRow="1"/>
      </w:tblPr>
      <w:tblGrid>
        <w:gridCol w:w="490"/>
        <w:gridCol w:w="841"/>
        <w:gridCol w:w="911"/>
        <w:gridCol w:w="911"/>
        <w:gridCol w:w="841"/>
        <w:gridCol w:w="911"/>
        <w:gridCol w:w="981"/>
        <w:gridCol w:w="841"/>
        <w:gridCol w:w="11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Priorfydscr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Mrfytdocc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Debt yield 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Priorfyocc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Oltv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Interestonly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Bad flag final 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72687</w:t>
            </w:r>
          </w:p>
        </w:tc>
        <w:tc>
          <w:p>
            <w:pPr>
              <w:pStyle w:val="Compact"/>
              <w:jc w:val="left"/>
            </w:pPr>
            <w:r>
              <w:t xml:space="preserve">53116</w:t>
            </w:r>
          </w:p>
        </w:tc>
        <w:tc>
          <w:p>
            <w:pPr>
              <w:pStyle w:val="Compact"/>
              <w:jc w:val="left"/>
            </w:pPr>
            <w:r>
              <w:t xml:space="preserve">76691</w:t>
            </w:r>
          </w:p>
        </w:tc>
        <w:tc>
          <w:p>
            <w:pPr>
              <w:pStyle w:val="Compact"/>
              <w:jc w:val="left"/>
            </w:pPr>
            <w:r>
              <w:t xml:space="preserve">69471</w:t>
            </w:r>
          </w:p>
        </w:tc>
        <w:tc>
          <w:p>
            <w:pPr>
              <w:pStyle w:val="Compact"/>
              <w:jc w:val="left"/>
            </w:pPr>
            <w:r>
              <w:t xml:space="preserve">89812</w:t>
            </w:r>
          </w:p>
        </w:tc>
        <w:tc>
          <w:p>
            <w:pPr>
              <w:pStyle w:val="Compact"/>
              <w:jc w:val="left"/>
            </w:pPr>
            <w:r>
              <w:t xml:space="preserve">92974</w:t>
            </w:r>
          </w:p>
        </w:tc>
        <w:tc>
          <w:p>
            <w:pPr>
              <w:pStyle w:val="Compact"/>
              <w:jc w:val="left"/>
            </w:pPr>
            <w:r>
              <w:t xml:space="preserve">92974</w:t>
            </w:r>
          </w:p>
        </w:tc>
        <w:tc>
          <w:p>
            <w:pPr>
              <w:pStyle w:val="Compact"/>
              <w:jc w:val="left"/>
            </w:pPr>
            <w:r>
              <w:t xml:space="preserve">92974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South-Atlantic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19311</w:t>
            </w:r>
          </w:p>
        </w:tc>
        <w:tc>
          <w:p>
            <w:pPr>
              <w:pStyle w:val="Compact"/>
              <w:jc w:val="left"/>
            </w:pPr>
            <w:r>
              <w:t xml:space="preserve">85294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1.8395755298</w:t>
            </w:r>
          </w:p>
        </w:tc>
        <w:tc>
          <w:p>
            <w:pPr>
              <w:pStyle w:val="Compact"/>
              <w:jc w:val="left"/>
            </w:pPr>
            <w:r>
              <w:t xml:space="preserve">93.4809228426</w:t>
            </w:r>
          </w:p>
        </w:tc>
        <w:tc>
          <w:p>
            <w:pPr>
              <w:pStyle w:val="Compact"/>
              <w:jc w:val="left"/>
            </w:pPr>
            <w:r>
              <w:t xml:space="preserve">12.5337343705</w:t>
            </w:r>
          </w:p>
        </w:tc>
        <w:tc>
          <w:p>
            <w:pPr>
              <w:pStyle w:val="Compact"/>
              <w:jc w:val="left"/>
            </w:pPr>
            <w:r>
              <w:t xml:space="preserve">93.754880108</w:t>
            </w:r>
          </w:p>
        </w:tc>
        <w:tc>
          <w:p>
            <w:pPr>
              <w:pStyle w:val="Compact"/>
              <w:jc w:val="left"/>
            </w:pPr>
            <w:r>
              <w:t xml:space="preserve">66.4377253596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0.011960333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1.8170684715</w:t>
            </w:r>
          </w:p>
        </w:tc>
        <w:tc>
          <w:p>
            <w:pPr>
              <w:pStyle w:val="Compact"/>
              <w:jc w:val="left"/>
            </w:pPr>
            <w:r>
              <w:t xml:space="preserve">9.0892893303</w:t>
            </w:r>
          </w:p>
        </w:tc>
        <w:tc>
          <w:p>
            <w:pPr>
              <w:pStyle w:val="Compact"/>
              <w:jc w:val="left"/>
            </w:pPr>
            <w:r>
              <w:t xml:space="preserve">13.8366159547</w:t>
            </w:r>
          </w:p>
        </w:tc>
        <w:tc>
          <w:p>
            <w:pPr>
              <w:pStyle w:val="Compact"/>
              <w:jc w:val="left"/>
            </w:pPr>
            <w:r>
              <w:t xml:space="preserve">9.2084476055</w:t>
            </w:r>
          </w:p>
        </w:tc>
        <w:tc>
          <w:p>
            <w:pPr>
              <w:pStyle w:val="Compact"/>
              <w:jc w:val="left"/>
            </w:pPr>
            <w:r>
              <w:t xml:space="preserve">17.2802191395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0.1087079139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-2.8302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-26.38654378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1.2978</w:t>
            </w:r>
          </w:p>
        </w:tc>
        <w:tc>
          <w:p>
            <w:pPr>
              <w:pStyle w:val="Compact"/>
              <w:jc w:val="left"/>
            </w:pPr>
            <w:r>
              <w:t xml:space="preserve">91.9175</w:t>
            </w:r>
          </w:p>
        </w:tc>
        <w:tc>
          <w:p>
            <w:pPr>
              <w:pStyle w:val="Compact"/>
              <w:jc w:val="left"/>
            </w:pPr>
            <w:r>
              <w:t xml:space="preserve">6.8698379192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62.8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p>
            <w:pPr>
              <w:pStyle w:val="Compact"/>
              <w:jc w:val="left"/>
            </w:pPr>
            <w:r>
              <w:t xml:space="preserve">95.1</w:t>
            </w:r>
          </w:p>
        </w:tc>
        <w:tc>
          <w:p>
            <w:pPr>
              <w:pStyle w:val="Compact"/>
              <w:jc w:val="left"/>
            </w:pPr>
            <w:r>
              <w:t xml:space="preserve">10.461944328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72.59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14.0404936145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77.6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63.97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408.3590591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96.24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5.1.2 Information value</w:t>
      </w:r>
    </w:p>
    <w:p>
      <w:pPr>
        <w:pStyle w:val="BodyText"/>
      </w:pPr>
      <w:r>
        <w:t xml:space="preserve">Information Value (IV), calculated at risk driver level, is a measure used to quantify the predictive power of a risk driver. More specifically, how well can a risk driver discriminate between a default and no-default response.</w:t>
      </w:r>
    </w:p>
    <w:p>
      <w:pPr>
        <w:pStyle w:val="BodyText"/>
      </w:pPr>
      <w:r>
        <w:t xml:space="preserve">The test returns IV for selected risk drivers listed in the table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Iv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priorfydscr</w:t>
            </w:r>
          </w:p>
        </w:tc>
        <w:tc>
          <w:p>
            <w:pPr>
              <w:pStyle w:val="Compact"/>
              <w:jc w:val="left"/>
            </w:pPr>
            <w:r>
              <w:t xml:space="preserve">0.8183686365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priorfyocc</w:t>
            </w:r>
          </w:p>
        </w:tc>
        <w:tc>
          <w:p>
            <w:pPr>
              <w:pStyle w:val="Compact"/>
              <w:jc w:val="left"/>
            </w:pPr>
            <w:r>
              <w:t xml:space="preserve">0.5424667177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mrfytdocc</w:t>
            </w:r>
          </w:p>
        </w:tc>
        <w:tc>
          <w:p>
            <w:pPr>
              <w:pStyle w:val="Compact"/>
              <w:jc w:val="left"/>
            </w:pPr>
            <w:r>
              <w:t xml:space="preserve">0.409471795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debt_yield_p1</w:t>
            </w:r>
          </w:p>
        </w:tc>
        <w:tc>
          <w:p>
            <w:pPr>
              <w:pStyle w:val="Compact"/>
              <w:jc w:val="left"/>
            </w:pPr>
            <w:r>
              <w:t xml:space="preserve">0.293684185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OLTV</w:t>
            </w:r>
          </w:p>
        </w:tc>
        <w:tc>
          <w:p>
            <w:pPr>
              <w:pStyle w:val="Compact"/>
              <w:jc w:val="left"/>
            </w:pPr>
            <w:r>
              <w:t xml:space="preserve">0.2461692548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t xml:space="preserve">0.235608834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interestonly</w:t>
            </w:r>
          </w:p>
        </w:tc>
        <w:tc>
          <w:p>
            <w:pPr>
              <w:pStyle w:val="Compact"/>
              <w:jc w:val="left"/>
            </w:pPr>
            <w:r>
              <w:t xml:space="preserve">0.0443585828</w:t>
            </w:r>
          </w:p>
        </w:tc>
      </w:tr>
    </w:tbl>
    <w:p>
      <w:pPr>
        <w:pStyle w:val="BodyText"/>
      </w:pPr>
      <w:r>
        <w:t xml:space="preserve">The table above provides the IV of all the variables used in the model, higher IV implies more discriminatory power of the variable between the default and non-default customers.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5.1.3 Model coefficient</w:t>
      </w:r>
    </w:p>
    <w:p>
      <w:pPr>
        <w:pStyle w:val="BodyText"/>
      </w:pPr>
      <w:r>
        <w:t xml:space="preserve">The PD model is developed using logistic regression technique with 7 risk drivers (independent variables) in the final model equation. Please find below the list of parameters and their model coefficients.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-4.4168461324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priorfydscr</w:t>
            </w:r>
          </w:p>
        </w:tc>
        <w:tc>
          <w:p>
            <w:pPr>
              <w:pStyle w:val="Compact"/>
              <w:jc w:val="left"/>
            </w:pPr>
            <w:r>
              <w:t xml:space="preserve">-0.7618294827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mrfytdocc</w:t>
            </w:r>
          </w:p>
        </w:tc>
        <w:tc>
          <w:p>
            <w:pPr>
              <w:pStyle w:val="Compact"/>
              <w:jc w:val="left"/>
            </w:pPr>
            <w:r>
              <w:t xml:space="preserve">-0.3871917877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debt_yield_p1</w:t>
            </w:r>
          </w:p>
        </w:tc>
        <w:tc>
          <w:p>
            <w:pPr>
              <w:pStyle w:val="Compact"/>
              <w:jc w:val="left"/>
            </w:pPr>
            <w:r>
              <w:t xml:space="preserve">-0.1510340457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priorfyocc</w:t>
            </w:r>
          </w:p>
        </w:tc>
        <w:tc>
          <w:p>
            <w:pPr>
              <w:pStyle w:val="Compact"/>
              <w:jc w:val="left"/>
            </w:pPr>
            <w:r>
              <w:t xml:space="preserve">-0.4915827429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OLTV</w:t>
            </w:r>
          </w:p>
        </w:tc>
        <w:tc>
          <w:p>
            <w:pPr>
              <w:pStyle w:val="Compact"/>
              <w:jc w:val="left"/>
            </w:pPr>
            <w:r>
              <w:t xml:space="preserve">-0.310497772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t xml:space="preserve">-0.5789169907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interestonly</w:t>
            </w:r>
          </w:p>
        </w:tc>
        <w:tc>
          <w:p>
            <w:pPr>
              <w:pStyle w:val="Compact"/>
              <w:jc w:val="left"/>
            </w:pPr>
            <w:r>
              <w:t xml:space="preserve">-0.3459055608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5.1.3.2 Scoring</w:t>
      </w:r>
    </w:p>
    <w:p>
      <w:pPr>
        <w:pStyle w:val="BodyText"/>
      </w:pPr>
      <w:r>
        <w:t xml:space="preserve">Based on the forecasted probability of default, each facility is assiged to a rating.</w:t>
      </w:r>
      <w:r>
        <w:t xml:space="preserve"> </w:t>
      </w:r>
      <w:r>
        <w:t xml:space="preserve">Below the distribution of the ratings for the train and test dataset.</w:t>
      </w:r>
    </w:p>
    <w:p>
      <w:pPr>
        <w:pStyle w:val="Compact"/>
      </w:pPr>
      <w:r>
        <w:t xml:space="preserve">Train dataset distribution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Test dataset distribution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2021-05-04T02:19:52Z</dcterms:created>
  <dcterms:modified xsi:type="dcterms:W3CDTF">2021-05-04T02:19:52Z</dcterms:modified>
</cp:coreProperties>
</file>