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Compact"/>
      </w:pPr>
      <w:r>
        <w:t xml:space="preserve">5.2 PD model stress test</w:t>
      </w:r>
    </w:p>
    <w:p>
      <w:pPr>
        <w:pStyle w:val="Compact"/>
      </w:pPr>
      <w:r>
        <w:t xml:space="preserve">5.2.1 Kolmogorov–Smirnov Test</w:t>
      </w:r>
    </w:p>
    <w:p>
      <w:pPr>
        <w:pStyle w:val="BodyText"/>
      </w:pPr>
      <w:r>
        <w:t xml:space="preserve">The KS statistic is used to measure the discriminatory power of the PD model. It is defined as the maximum difference between the cumulative percentage of good samples (i.e., non-defaulters) and the cumulative percentage of bad samples (i.e., defaulters). A higher KS value implies a good fit of the model.</w:t>
      </w:r>
    </w:p>
    <w:p>
      <w:pPr>
        <w:pStyle w:val="BodyText"/>
      </w:pPr>
      <w:r>
        <w:t xml:space="preserve">The test returns a KS value.</w:t>
      </w:r>
    </w:p>
    <w:tbl>
      <w:tblPr>
        <w:tblStyle w:val="Table"/>
        <w:tblW w:type="pct" w:w="0.0"/>
        <w:tblLook w:firstRow="1"/>
      </w:tblPr>
      <w:tblGrid/>
      <w:tr>
        <w:trPr>
          <w:cnfStyle w:firstRow="1"/>
        </w:trPr>
        <w:tc>
          <w:tcPr>
            <w:tcBorders>
              <w:bottom w:val="single"/>
            </w:tcBorders>
            <w:vAlign w:val="bottom"/>
          </w:tcPr>
          <w:p>
            <w:pPr>
              <w:pStyle w:val="Compact"/>
              <w:jc w:val="left"/>
            </w:pPr>
            <w:r>
              <w:t xml:space="preserve">Ks statistic train</w:t>
            </w:r>
          </w:p>
        </w:tc>
        <w:tc>
          <w:tcPr>
            <w:tcBorders>
              <w:bottom w:val="single"/>
            </w:tcBorders>
            <w:vAlign w:val="bottom"/>
          </w:tcPr>
          <w:p>
            <w:pPr>
              <w:pStyle w:val="Compact"/>
              <w:jc w:val="left"/>
            </w:pPr>
            <w:r>
              <w:t xml:space="preserve">Ks statistic test</w:t>
            </w:r>
          </w:p>
        </w:tc>
      </w:tr>
      <w:tr>
        <w:tc>
          <w:p>
            <w:pPr>
              <w:pStyle w:val="Compact"/>
              <w:jc w:val="left"/>
            </w:pPr>
            <w:r>
              <w:t xml:space="preserve">0.4219</w:t>
            </w:r>
          </w:p>
        </w:tc>
        <w:tc>
          <w:p>
            <w:pPr>
              <w:pStyle w:val="Compact"/>
              <w:jc w:val="left"/>
            </w:pPr>
            <w:r>
              <w:t xml:space="preserve">0.3811</w:t>
            </w:r>
          </w:p>
        </w:tc>
      </w:tr>
    </w:tbl>
    <w:p>
      <w:pPr>
        <w:pStyle w:val="Compact"/>
      </w:pPr>
      <w:r>
        <w:t xml:space="preserve">For training sample, the KS value is 0.4219, which is higher than the threshold of 0.4, indicating that discriminatory power of the model is good. For testing sample, the KS value is 0.3811, which is lower than the threshold of 0.4, indicating that discriminatory power of the model is not sufficient.</w:t>
      </w:r>
    </w:p>
    <w:p>
      <w:r>
        <w:pict>
          <v:rect style="width:0;height:1.5pt" o:hralign="center" o:hrstd="t" o:hr="t"/>
        </w:pict>
      </w:r>
    </w:p>
    <w:p>
      <w:pPr>
        <w:pStyle w:val="Compact"/>
      </w:pPr>
      <w:r>
        <w:t xml:space="preserve">5.2.2 Variance Inflation Factor</w:t>
      </w:r>
    </w:p>
    <w:p>
      <w:pPr>
        <w:pStyle w:val="BodyText"/>
      </w:pPr>
      <w:r>
        <w:t xml:space="preserve">This test is to assess the multicollinearity among the risk drivers. The variance inflation factor (VIF) quantifies the severity of multicollinearity in an regression analysis caused by correlation between multiple</w:t>
      </w:r>
      <w:r>
        <w:t xml:space="preserve"> </w:t>
      </w:r>
      <w:r>
        <w:t xml:space="preserve">‘</w:t>
      </w:r>
      <w:r>
        <w:t xml:space="preserve">independent variables</w:t>
      </w:r>
      <w:r>
        <w:t xml:space="preserve">’</w:t>
      </w:r>
      <w:r>
        <w:t xml:space="preserve"> </w:t>
      </w:r>
      <w:r>
        <w:t xml:space="preserve">in a model (i.e., the risk drivers). It is a measure of how much the variance of an estimated regression coefficient is inflated because of multicollinearity in the model. High levels of multicollinearity results in unstable parameter estimates and renders the model statistically invalid.</w:t>
      </w:r>
    </w:p>
    <w:p>
      <w:pPr>
        <w:pStyle w:val="BodyText"/>
      </w:pPr>
      <w:r>
        <w:t xml:space="preserve">The test returns VIF value for each variable listed in the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Vif</w:t>
            </w:r>
          </w:p>
        </w:tc>
      </w:tr>
      <w:tr>
        <w:tc>
          <w:p>
            <w:pPr>
              <w:pStyle w:val="Compact"/>
              <w:jc w:val="left"/>
            </w:pPr>
            <w:r>
              <w:t xml:space="preserve">priorfydscr_transformed</w:t>
            </w:r>
          </w:p>
        </w:tc>
        <w:tc>
          <w:p>
            <w:pPr>
              <w:pStyle w:val="Compact"/>
              <w:jc w:val="left"/>
            </w:pPr>
            <w:r>
              <w:t xml:space="preserve">1.3352</w:t>
            </w:r>
          </w:p>
        </w:tc>
      </w:tr>
      <w:tr>
        <w:tc>
          <w:p>
            <w:pPr>
              <w:pStyle w:val="Compact"/>
              <w:jc w:val="left"/>
            </w:pPr>
            <w:r>
              <w:t xml:space="preserve">mrfytdocc_transformed</w:t>
            </w:r>
          </w:p>
        </w:tc>
        <w:tc>
          <w:p>
            <w:pPr>
              <w:pStyle w:val="Compact"/>
              <w:jc w:val="left"/>
            </w:pPr>
            <w:r>
              <w:t xml:space="preserve">1.6708</w:t>
            </w:r>
          </w:p>
        </w:tc>
      </w:tr>
      <w:tr>
        <w:tc>
          <w:p>
            <w:pPr>
              <w:pStyle w:val="Compact"/>
              <w:jc w:val="left"/>
            </w:pPr>
            <w:r>
              <w:t xml:space="preserve">debt_yield_p1_transformed</w:t>
            </w:r>
          </w:p>
        </w:tc>
        <w:tc>
          <w:p>
            <w:pPr>
              <w:pStyle w:val="Compact"/>
              <w:jc w:val="left"/>
            </w:pPr>
            <w:r>
              <w:t xml:space="preserve">1.364</w:t>
            </w:r>
          </w:p>
        </w:tc>
      </w:tr>
      <w:tr>
        <w:tc>
          <w:p>
            <w:pPr>
              <w:pStyle w:val="Compact"/>
              <w:jc w:val="left"/>
            </w:pPr>
            <w:r>
              <w:t xml:space="preserve">priorfyocc_transformed</w:t>
            </w:r>
          </w:p>
        </w:tc>
        <w:tc>
          <w:p>
            <w:pPr>
              <w:pStyle w:val="Compact"/>
              <w:jc w:val="left"/>
            </w:pPr>
            <w:r>
              <w:t xml:space="preserve">1.6813</w:t>
            </w:r>
          </w:p>
        </w:tc>
      </w:tr>
      <w:tr>
        <w:tc>
          <w:p>
            <w:pPr>
              <w:pStyle w:val="Compact"/>
              <w:jc w:val="left"/>
            </w:pPr>
            <w:r>
              <w:t xml:space="preserve">OLTV_transformed</w:t>
            </w:r>
          </w:p>
        </w:tc>
        <w:tc>
          <w:p>
            <w:pPr>
              <w:pStyle w:val="Compact"/>
              <w:jc w:val="left"/>
            </w:pPr>
            <w:r>
              <w:t xml:space="preserve">1.2259</w:t>
            </w:r>
          </w:p>
        </w:tc>
      </w:tr>
      <w:tr>
        <w:tc>
          <w:p>
            <w:pPr>
              <w:pStyle w:val="Compact"/>
              <w:jc w:val="left"/>
            </w:pPr>
            <w:r>
              <w:t xml:space="preserve">Division_transformed</w:t>
            </w:r>
          </w:p>
        </w:tc>
        <w:tc>
          <w:p>
            <w:pPr>
              <w:pStyle w:val="Compact"/>
              <w:jc w:val="left"/>
            </w:pPr>
            <w:r>
              <w:t xml:space="preserve">1.0953</w:t>
            </w:r>
          </w:p>
        </w:tc>
      </w:tr>
      <w:tr>
        <w:tc>
          <w:p>
            <w:pPr>
              <w:pStyle w:val="Compact"/>
              <w:jc w:val="left"/>
            </w:pPr>
            <w:r>
              <w:t xml:space="preserve">interestonly_transformed</w:t>
            </w:r>
          </w:p>
        </w:tc>
        <w:tc>
          <w:p>
            <w:pPr>
              <w:pStyle w:val="Compact"/>
              <w:jc w:val="left"/>
            </w:pPr>
            <w:r>
              <w:t xml:space="preserve">1.045</w:t>
            </w:r>
          </w:p>
        </w:tc>
      </w:tr>
    </w:tbl>
    <w:p>
      <w:pPr>
        <w:pStyle w:val="Compact"/>
      </w:pPr>
      <w:r>
        <w:t xml:space="preserve">As shown in the above table, all variables have a VIF lower than 4, indicating the model does not suffer from multicollinearity.</w:t>
      </w:r>
    </w:p>
    <w:p>
      <w:r>
        <w:pict>
          <v:rect style="width:0;height:1.5pt" o:hralign="center" o:hrstd="t" o:hr="t"/>
        </w:pict>
      </w:r>
    </w:p>
    <w:p>
      <w:pPr>
        <w:pStyle w:val="Compact"/>
      </w:pPr>
      <w:r>
        <w:t xml:space="preserve">5.2.3 Receiver Operating Characteristic curve</w:t>
      </w:r>
    </w:p>
    <w:p>
      <w:pPr>
        <w:pStyle w:val="BodyText"/>
      </w:pPr>
      <w:r>
        <w:t xml:space="preserve">Receiver Operating Characteristic (ROC) is a curve in a unit square which is used to assess the accuracy of the diagnostic (e.g. rating) system. The area under curve (AUC) is the area under the ROC curve. Higher AUC means higher discriminatory power of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Area under curve</w:t>
            </w:r>
          </w:p>
        </w:tc>
        <w:tc>
          <w:tcPr>
            <w:tcBorders>
              <w:bottom w:val="single"/>
            </w:tcBorders>
            <w:vAlign w:val="bottom"/>
          </w:tcPr>
          <w:p>
            <w:pPr>
              <w:pStyle w:val="Compact"/>
              <w:jc w:val="left"/>
            </w:pPr>
            <w:r>
              <w:t xml:space="preserve">Gini coefficient</w:t>
            </w:r>
          </w:p>
        </w:tc>
      </w:tr>
      <w:tr>
        <w:tc>
          <w:p>
            <w:pPr>
              <w:pStyle w:val="Compact"/>
              <w:jc w:val="left"/>
            </w:pPr>
            <w:r>
              <w:t xml:space="preserve">0.7743</w:t>
            </w:r>
          </w:p>
        </w:tc>
        <w:tc>
          <w:p>
            <w:pPr>
              <w:pStyle w:val="Compact"/>
              <w:jc w:val="left"/>
            </w:pPr>
            <w:r>
              <w:t xml:space="preserve">0.5487</w:t>
            </w:r>
          </w:p>
        </w:tc>
      </w:tr>
    </w:tbl>
    <w:p>
      <w:pPr>
        <w:pStyle w:val="Compact"/>
      </w:pPr>
      <w:r>
        <w:t xml:space="preserve">As shown in the above table, the AUC value is higher than 0.7 and the Gini value of the model is higher than 0.4, indicating that discriminatory power of the model is good.</w:t>
      </w:r>
    </w:p>
    <w:p>
      <w:r>
        <w:pict>
          <v:rect style="width:0;height:1.5pt" o:hralign="center" o:hrstd="t" o:hr="t"/>
        </w:pict>
      </w:r>
    </w:p>
    <w:p>
      <w:pPr>
        <w:pStyle w:val="Compact"/>
      </w:pPr>
      <w:r>
        <w:t xml:space="preserve">5.2.4 Normal Test</w:t>
      </w:r>
    </w:p>
    <w:p>
      <w:pPr>
        <w:pStyle w:val="BodyText"/>
      </w:pPr>
      <w:r>
        <w:t xml:space="preserve">The aim of the test is to evaluate the adequacy of observed default rates comparing to predicted PD. The test is performed on the level of rating grade. It is applied under the assumption that the mean default rate does not vary too much over time and that default events in different years are independent. The normal test is motivated by the Central Limit Theorem and is based on a normal approximation of the distribution of the time-averaged default rates.</w:t>
      </w:r>
      <w:r>
        <w:t xml:space="preserve"> </w:t>
      </w:r>
      <w:r>
        <w:t xml:space="preserve">With high enough (&gt;30) number (n) of observations which are independent, Point in Time (PIT) observed default rate (ODR) is expected to be normally distributed. The algorithm of the test is to calculate time-weighted (or simple arithmetic) average of all PiT ODRs, calculate standard error of this statistic and derive confidence interval for it.</w:t>
      </w:r>
    </w:p>
    <w:p>
      <w:pPr>
        <w:pStyle w:val="BodyText"/>
      </w:pPr>
      <w:r>
        <w:t xml:space="preserve">The test returns a table of p values and a brief interpretation of the test result for each rating grade.</w:t>
      </w:r>
    </w:p>
    <w:tbl>
      <w:tblPr>
        <w:tblStyle w:val="Table"/>
        <w:tblW w:type="pct" w:w="5000.0"/>
        <w:tblLook w:firstRow="1"/>
      </w:tblPr>
      <w:tblGrid>
        <w:gridCol w:w="1080"/>
        <w:gridCol w:w="2430"/>
        <w:gridCol w:w="1080"/>
        <w:gridCol w:w="1710"/>
        <w:gridCol w:w="1620"/>
      </w:tblGrid>
      <w:tr>
        <w:trPr>
          <w:cnfStyle w:firstRow="1"/>
        </w:trPr>
        <w:tc>
          <w:tcPr>
            <w:tcBorders>
              <w:bottom w:val="single"/>
            </w:tcBorders>
            <w:vAlign w:val="bottom"/>
          </w:tcPr>
          <w:p>
            <w:pPr>
              <w:pStyle w:val="Compact"/>
              <w:jc w:val="left"/>
            </w:pPr>
            <w:r>
              <w:t xml:space="preserve">Rating class</w:t>
            </w:r>
          </w:p>
        </w:tc>
        <w:tc>
          <w:tcPr>
            <w:tcBorders>
              <w:bottom w:val="single"/>
            </w:tcBorders>
            <w:vAlign w:val="bottom"/>
          </w:tcPr>
          <w:p>
            <w:pPr>
              <w:pStyle w:val="Compact"/>
              <w:jc w:val="left"/>
            </w:pPr>
            <w:r>
              <w:t xml:space="preserve">Predicted pd upper boundary</w:t>
            </w:r>
          </w:p>
        </w:tc>
        <w:tc>
          <w:tcPr>
            <w:tcBorders>
              <w:bottom w:val="single"/>
            </w:tcBorders>
            <w:vAlign w:val="bottom"/>
          </w:tcPr>
          <w:p>
            <w:pPr>
              <w:pStyle w:val="Compact"/>
              <w:jc w:val="left"/>
            </w:pPr>
            <w:r>
              <w:t xml:space="preserve">Default rate</w:t>
            </w:r>
          </w:p>
        </w:tc>
        <w:tc>
          <w:tcPr>
            <w:tcBorders>
              <w:bottom w:val="single"/>
            </w:tcBorders>
            <w:vAlign w:val="bottom"/>
          </w:tcPr>
          <w:p>
            <w:pPr>
              <w:pStyle w:val="Compact"/>
              <w:jc w:val="left"/>
            </w:pPr>
            <w:r>
              <w:t xml:space="preserve">Normal test p value</w:t>
            </w:r>
          </w:p>
        </w:tc>
        <w:tc>
          <w:tcPr>
            <w:tcBorders>
              <w:bottom w:val="single"/>
            </w:tcBorders>
            <w:vAlign w:val="bottom"/>
          </w:tcPr>
          <w:p>
            <w:pPr>
              <w:pStyle w:val="Compact"/>
              <w:jc w:val="left"/>
            </w:pPr>
            <w:r>
              <w:t xml:space="preserve">Normal test result</w:t>
            </w:r>
          </w:p>
        </w:tc>
      </w:tr>
      <w:tr>
        <w:tc>
          <w:p>
            <w:pPr>
              <w:pStyle w:val="Compact"/>
              <w:jc w:val="left"/>
            </w:pPr>
            <w:r>
              <w:t xml:space="preserve">1</w:t>
            </w:r>
          </w:p>
        </w:tc>
        <w:tc>
          <w:p>
            <w:pPr>
              <w:pStyle w:val="Compact"/>
              <w:jc w:val="left"/>
            </w:pPr>
            <w:r>
              <w:t xml:space="preserve">0.1%</w:t>
            </w:r>
          </w:p>
        </w:tc>
        <w:tc>
          <w:p>
            <w:pPr>
              <w:pStyle w:val="Compact"/>
              <w:jc w:val="left"/>
            </w:pPr>
            <w:r>
              <w:t xml:space="preserve">0.13%</w:t>
            </w:r>
          </w:p>
        </w:tc>
        <w:tc>
          <w:p>
            <w:pPr>
              <w:pStyle w:val="Compact"/>
              <w:jc w:val="left"/>
            </w:pPr>
            <w:r>
              <w:t xml:space="preserve">0.1063</w:t>
            </w:r>
          </w:p>
        </w:tc>
        <w:tc>
          <w:p>
            <w:pPr>
              <w:pStyle w:val="Compact"/>
              <w:jc w:val="left"/>
            </w:pPr>
            <w:r>
              <w:t xml:space="preserve">Acceptable</w:t>
            </w:r>
          </w:p>
        </w:tc>
      </w:tr>
      <w:tr>
        <w:tc>
          <w:p>
            <w:pPr>
              <w:pStyle w:val="Compact"/>
              <w:jc w:val="left"/>
            </w:pPr>
            <w:r>
              <w:t xml:space="preserve">2</w:t>
            </w:r>
          </w:p>
        </w:tc>
        <w:tc>
          <w:p>
            <w:pPr>
              <w:pStyle w:val="Compact"/>
              <w:jc w:val="left"/>
            </w:pPr>
            <w:r>
              <w:t xml:space="preserve">0.26%</w:t>
            </w:r>
          </w:p>
        </w:tc>
        <w:tc>
          <w:p>
            <w:pPr>
              <w:pStyle w:val="Compact"/>
              <w:jc w:val="left"/>
            </w:pPr>
            <w:r>
              <w:t xml:space="preserve">0.22%</w:t>
            </w:r>
          </w:p>
        </w:tc>
        <w:tc>
          <w:p>
            <w:pPr>
              <w:pStyle w:val="Compact"/>
              <w:jc w:val="left"/>
            </w:pPr>
            <w:r>
              <w:t xml:space="preserve">0.1439</w:t>
            </w:r>
          </w:p>
        </w:tc>
        <w:tc>
          <w:p>
            <w:pPr>
              <w:pStyle w:val="Compact"/>
              <w:jc w:val="left"/>
            </w:pPr>
            <w:r>
              <w:t xml:space="preserve">Acceptable</w:t>
            </w:r>
          </w:p>
        </w:tc>
      </w:tr>
      <w:tr>
        <w:tc>
          <w:p>
            <w:pPr>
              <w:pStyle w:val="Compact"/>
              <w:jc w:val="left"/>
            </w:pPr>
            <w:r>
              <w:t xml:space="preserve">3</w:t>
            </w:r>
          </w:p>
        </w:tc>
        <w:tc>
          <w:p>
            <w:pPr>
              <w:pStyle w:val="Compact"/>
              <w:jc w:val="left"/>
            </w:pPr>
            <w:r>
              <w:t xml:space="preserve">0.42%</w:t>
            </w:r>
          </w:p>
        </w:tc>
        <w:tc>
          <w:p>
            <w:pPr>
              <w:pStyle w:val="Compact"/>
              <w:jc w:val="left"/>
            </w:pPr>
            <w:r>
              <w:t xml:space="preserve">0.42%</w:t>
            </w:r>
          </w:p>
        </w:tc>
        <w:tc>
          <w:p>
            <w:pPr>
              <w:pStyle w:val="Compact"/>
              <w:jc w:val="left"/>
            </w:pPr>
            <w:r>
              <w:t xml:space="preserve">0.1088</w:t>
            </w:r>
          </w:p>
        </w:tc>
        <w:tc>
          <w:p>
            <w:pPr>
              <w:pStyle w:val="Compact"/>
              <w:jc w:val="left"/>
            </w:pPr>
            <w:r>
              <w:t xml:space="preserve">Acceptable</w:t>
            </w:r>
          </w:p>
        </w:tc>
      </w:tr>
      <w:tr>
        <w:tc>
          <w:p>
            <w:pPr>
              <w:pStyle w:val="Compact"/>
              <w:jc w:val="left"/>
            </w:pPr>
            <w:r>
              <w:t xml:space="preserve">4</w:t>
            </w:r>
          </w:p>
        </w:tc>
        <w:tc>
          <w:p>
            <w:pPr>
              <w:pStyle w:val="Compact"/>
              <w:jc w:val="left"/>
            </w:pPr>
            <w:r>
              <w:t xml:space="preserve">0.56%</w:t>
            </w:r>
          </w:p>
        </w:tc>
        <w:tc>
          <w:p>
            <w:pPr>
              <w:pStyle w:val="Compact"/>
              <w:jc w:val="left"/>
            </w:pPr>
            <w:r>
              <w:t xml:space="preserve">0.53%</w:t>
            </w:r>
          </w:p>
        </w:tc>
        <w:tc>
          <w:p>
            <w:pPr>
              <w:pStyle w:val="Compact"/>
              <w:jc w:val="left"/>
            </w:pPr>
            <w:r>
              <w:t xml:space="preserve">0.1982</w:t>
            </w:r>
          </w:p>
        </w:tc>
        <w:tc>
          <w:p>
            <w:pPr>
              <w:pStyle w:val="Compact"/>
              <w:jc w:val="left"/>
            </w:pPr>
            <w:r>
              <w:t xml:space="preserve">Acceptable</w:t>
            </w:r>
          </w:p>
        </w:tc>
      </w:tr>
      <w:tr>
        <w:tc>
          <w:p>
            <w:pPr>
              <w:pStyle w:val="Compact"/>
              <w:jc w:val="left"/>
            </w:pPr>
            <w:r>
              <w:t xml:space="preserve">5</w:t>
            </w:r>
          </w:p>
        </w:tc>
        <w:tc>
          <w:p>
            <w:pPr>
              <w:pStyle w:val="Compact"/>
              <w:jc w:val="left"/>
            </w:pPr>
            <w:r>
              <w:t xml:space="preserve">0.71%</w:t>
            </w:r>
          </w:p>
        </w:tc>
        <w:tc>
          <w:p>
            <w:pPr>
              <w:pStyle w:val="Compact"/>
              <w:jc w:val="left"/>
            </w:pPr>
            <w:r>
              <w:t xml:space="preserve">0.7%</w:t>
            </w:r>
          </w:p>
        </w:tc>
        <w:tc>
          <w:p>
            <w:pPr>
              <w:pStyle w:val="Compact"/>
              <w:jc w:val="left"/>
            </w:pPr>
            <w:r>
              <w:t xml:space="preserve">0.2359</w:t>
            </w:r>
          </w:p>
        </w:tc>
        <w:tc>
          <w:p>
            <w:pPr>
              <w:pStyle w:val="Compact"/>
              <w:jc w:val="left"/>
            </w:pPr>
            <w:r>
              <w:t xml:space="preserve">Acceptable</w:t>
            </w:r>
          </w:p>
        </w:tc>
      </w:tr>
      <w:tr>
        <w:tc>
          <w:p>
            <w:pPr>
              <w:pStyle w:val="Compact"/>
              <w:jc w:val="left"/>
            </w:pPr>
            <w:r>
              <w:t xml:space="preserve">6</w:t>
            </w:r>
          </w:p>
        </w:tc>
        <w:tc>
          <w:p>
            <w:pPr>
              <w:pStyle w:val="Compact"/>
              <w:jc w:val="left"/>
            </w:pPr>
            <w:r>
              <w:t xml:space="preserve">0.93%</w:t>
            </w:r>
          </w:p>
        </w:tc>
        <w:tc>
          <w:p>
            <w:pPr>
              <w:pStyle w:val="Compact"/>
              <w:jc w:val="left"/>
            </w:pPr>
            <w:r>
              <w:t xml:space="preserve">0.91%</w:t>
            </w:r>
          </w:p>
        </w:tc>
        <w:tc>
          <w:p>
            <w:pPr>
              <w:pStyle w:val="Compact"/>
              <w:jc w:val="left"/>
            </w:pPr>
            <w:r>
              <w:t xml:space="preserve">0.2364</w:t>
            </w:r>
          </w:p>
        </w:tc>
        <w:tc>
          <w:p>
            <w:pPr>
              <w:pStyle w:val="Compact"/>
              <w:jc w:val="left"/>
            </w:pPr>
            <w:r>
              <w:t xml:space="preserve">Acceptable</w:t>
            </w:r>
          </w:p>
        </w:tc>
      </w:tr>
      <w:tr>
        <w:tc>
          <w:p>
            <w:pPr>
              <w:pStyle w:val="Compact"/>
              <w:jc w:val="left"/>
            </w:pPr>
            <w:r>
              <w:t xml:space="preserve">7</w:t>
            </w:r>
          </w:p>
        </w:tc>
        <w:tc>
          <w:p>
            <w:pPr>
              <w:pStyle w:val="Compact"/>
              <w:jc w:val="left"/>
            </w:pPr>
            <w:r>
              <w:t xml:space="preserve">1.12%</w:t>
            </w:r>
          </w:p>
        </w:tc>
        <w:tc>
          <w:p>
            <w:pPr>
              <w:pStyle w:val="Compact"/>
              <w:jc w:val="left"/>
            </w:pPr>
            <w:r>
              <w:t xml:space="preserve">0.7%</w:t>
            </w:r>
          </w:p>
        </w:tc>
        <w:tc>
          <w:p>
            <w:pPr>
              <w:pStyle w:val="Compact"/>
              <w:jc w:val="left"/>
            </w:pPr>
            <w:r>
              <w:t xml:space="preserve">0.2665</w:t>
            </w:r>
          </w:p>
        </w:tc>
        <w:tc>
          <w:p>
            <w:pPr>
              <w:pStyle w:val="Compact"/>
              <w:jc w:val="left"/>
            </w:pPr>
            <w:r>
              <w:t xml:space="preserve">Acceptable</w:t>
            </w:r>
          </w:p>
        </w:tc>
      </w:tr>
      <w:tr>
        <w:tc>
          <w:p>
            <w:pPr>
              <w:pStyle w:val="Compact"/>
              <w:jc w:val="left"/>
            </w:pPr>
            <w:r>
              <w:t xml:space="preserve">8</w:t>
            </w:r>
          </w:p>
        </w:tc>
        <w:tc>
          <w:p>
            <w:pPr>
              <w:pStyle w:val="Compact"/>
              <w:jc w:val="left"/>
            </w:pPr>
            <w:r>
              <w:t xml:space="preserve">1.41%</w:t>
            </w:r>
          </w:p>
        </w:tc>
        <w:tc>
          <w:p>
            <w:pPr>
              <w:pStyle w:val="Compact"/>
              <w:jc w:val="left"/>
            </w:pPr>
            <w:r>
              <w:t xml:space="preserve">1.1%</w:t>
            </w:r>
          </w:p>
        </w:tc>
        <w:tc>
          <w:p>
            <w:pPr>
              <w:pStyle w:val="Compact"/>
              <w:jc w:val="left"/>
            </w:pPr>
            <w:r>
              <w:t xml:space="preserve">0.4014</w:t>
            </w:r>
          </w:p>
        </w:tc>
        <w:tc>
          <w:p>
            <w:pPr>
              <w:pStyle w:val="Compact"/>
              <w:jc w:val="left"/>
            </w:pPr>
            <w:r>
              <w:t xml:space="preserve">Acceptable</w:t>
            </w:r>
          </w:p>
        </w:tc>
      </w:tr>
      <w:tr>
        <w:tc>
          <w:p>
            <w:pPr>
              <w:pStyle w:val="Compact"/>
              <w:jc w:val="left"/>
            </w:pPr>
            <w:r>
              <w:t xml:space="preserve">9</w:t>
            </w:r>
          </w:p>
        </w:tc>
        <w:tc>
          <w:p>
            <w:pPr>
              <w:pStyle w:val="Compact"/>
              <w:jc w:val="left"/>
            </w:pPr>
            <w:r>
              <w:t xml:space="preserve">2.56%</w:t>
            </w:r>
          </w:p>
        </w:tc>
        <w:tc>
          <w:p>
            <w:pPr>
              <w:pStyle w:val="Compact"/>
              <w:jc w:val="left"/>
            </w:pPr>
            <w:r>
              <w:t xml:space="preserve">1.91%</w:t>
            </w:r>
          </w:p>
        </w:tc>
        <w:tc>
          <w:p>
            <w:pPr>
              <w:pStyle w:val="Compact"/>
              <w:jc w:val="left"/>
            </w:pPr>
            <w:r>
              <w:t xml:space="preserve">0.4329</w:t>
            </w:r>
          </w:p>
        </w:tc>
        <w:tc>
          <w:p>
            <w:pPr>
              <w:pStyle w:val="Compact"/>
              <w:jc w:val="left"/>
            </w:pPr>
            <w:r>
              <w:t xml:space="preserve">Acceptable</w:t>
            </w:r>
          </w:p>
        </w:tc>
      </w:tr>
      <w:tr>
        <w:tc>
          <w:p>
            <w:pPr>
              <w:pStyle w:val="Compact"/>
              <w:jc w:val="left"/>
            </w:pPr>
            <w:r>
              <w:t xml:space="preserve">10</w:t>
            </w:r>
          </w:p>
        </w:tc>
        <w:tc>
          <w:p>
            <w:pPr>
              <w:pStyle w:val="Compact"/>
              <w:jc w:val="left"/>
            </w:pPr>
            <w:r>
              <w:t xml:space="preserve">15%</w:t>
            </w:r>
          </w:p>
        </w:tc>
        <w:tc>
          <w:p>
            <w:pPr>
              <w:pStyle w:val="Compact"/>
              <w:jc w:val="left"/>
            </w:pPr>
            <w:r>
              <w:t xml:space="preserve">5.37%</w:t>
            </w:r>
          </w:p>
        </w:tc>
        <w:tc>
          <w:p>
            <w:pPr>
              <w:pStyle w:val="Compact"/>
              <w:jc w:val="left"/>
            </w:pPr>
            <w:r>
              <w:t xml:space="preserve">0.0627</w:t>
            </w:r>
          </w:p>
        </w:tc>
        <w:tc>
          <w:p>
            <w:pPr>
              <w:pStyle w:val="Compact"/>
              <w:jc w:val="left"/>
            </w:pPr>
            <w:r>
              <w:t xml:space="preserve">Acceptable</w:t>
            </w:r>
          </w:p>
        </w:tc>
      </w:tr>
    </w:tbl>
    <w:p>
      <w:pPr>
        <w:pStyle w:val="Compact"/>
      </w:pPr>
      <w:r>
        <w:t xml:space="preserve">As shown in the above table, the p-value of Normal test for all segments is higher than 0.05, which means the null hypothesis cannot be rejected and there is evidence that the predicted PD does not deviate from the long run average of observed values. Therefore, the accuracy of the model is adequate.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2021-05-04T02:47:24Z</dcterms:created>
  <dcterms:modified xsi:type="dcterms:W3CDTF">2021-05-04T02:47:24Z</dcterms:modified>
</cp:coreProperties>
</file>