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</w:t>
      </w:r>
      <w:hyperlink r:id="rId5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Your First Cup: An Introduction to the Java EE Platform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Focus on Chapter 2, “Understanding Java Platform, Enterprise Edition”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tiers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discussed in the article. On which does J2EE focus? On which to the Oracle database focus?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a multi-tiered application, the functionality of the application is separated into isolated functional areas, called tiers. Typically, multi-tiered applications have a client tier, a middle tier, and a data tier (often called the enterprise information systems tier). The client tier consists of a client program that makes requests to the middle tier. The middle tier is divided into a web tier and a business tier, which handle client requests and process application data, storing it in a permanent datastore in the data tier.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nature of a J2EE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container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What sort of containers are there?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J2EE/Java EE applications aren't self contained. In order to be executed, they need to be deployed in a container. In other words, the container provides an execution environment on top of the JVM.</w:t>
        <w:br w:type="textWrapping"/>
        <w:t xml:space="preserve">  Also, applications rely on several APIs like JPA, EJB, servlet, JMS, JNDI, etc. The role of the EE compliant container is to provide a standard implementation of all or some of these APIs. This means you can theoretically run your application on top of any container as long as it relies on standard APIs.</w:t>
        <w:br w:type="textWrapping"/>
        <w:t xml:space="preserve">    From a technical perspective, a container is just another Java SE application with a main() method. EE applications on the other hand are a collection of services/beans/servlets/etc. The container finds these components and runs them, providing API implementations, monitoring, scalability, reliability and so 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The Java EE Tutorial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— This tutorial provides extensive material on J2EE; focus on the sections listed here.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Sections 1.7–1.8, “Java EE 7 APIs” — Explain the purpose of these technologies (only):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JPA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JTA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JAX-RS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JDBC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JAXB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JPA: Java Persistence API</w:t>
        <w:br w:type="textWrapping"/>
        <w:t xml:space="preserve">JTA: Java Transaction API</w:t>
        <w:br w:type="textWrapping"/>
        <w:t xml:space="preserve">JAX-RS: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Java API for RESTful Web Services</w:t>
        <w:br w:type="textWrapping"/>
        <w:t xml:space="preserve">JDBC: The Java Database Connectivity (JDBC) API lets you invoke SQL commands from Java programming language methods</w:t>
        <w:br w:type="textWrapping"/>
        <w:t xml:space="preserve">JAXB: The Java Architecture for XML Binding (JAXB) provides a convenient way to bind an XML schema to a representation in Java language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Section 5, “Packaging Applications” — Compare and contrast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JARs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WARs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EARs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JAR: EJB modules which contain enterprise java beans (class files) and EJB deployment descriptor are packed as JAR files with .jar extenstion</w:t>
        <w:br w:type="textWrapping"/>
        <w:t xml:space="preserve">WAR: Web modules which contain Servlet class files, JSP Files, supporting files, GIF and HTML files are packaged as JAR file with .war (web archive) extension</w:t>
        <w:br w:type="textWrapping"/>
        <w:t xml:space="preserve">EAR: All above files (.jar and .war) are packaged as JAR file with .ear (enterprise archive) extension and deployed into Application Server.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these tutorials, on which the lab is based: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Developing a Java EE Application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&amp;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550000"/>
            <w:u w:val="single"/>
            <w:rtl w:val="0"/>
          </w:rPr>
          <w:t xml:space="preserve">Creating and Running Your First RESTful Web Service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Identify the IDE we’ll use for J2EE development.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Identify the roles of the following technologies in the J2EE application: J2SE’s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JDK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GlassFish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6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Explain the nature of a RESTful webservice.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Calibri" w:cs="Calibri" w:eastAsia="Calibri" w:hAnsi="Calibri"/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="Calibri" w:cs="Calibri" w:eastAsia="Calibri" w:hAnsi="Calibri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oracle.com/javaee/7/firstcup/index.html" TargetMode="External"/><Relationship Id="rId6" Type="http://schemas.openxmlformats.org/officeDocument/2006/relationships/hyperlink" Target="https://docs.oracle.com/javaee/7/tutorial/index.html" TargetMode="External"/><Relationship Id="rId7" Type="http://schemas.openxmlformats.org/officeDocument/2006/relationships/hyperlink" Target="https://www.jetbrains.com/help/idea/2016.3/developing-a-java-ee-application.html" TargetMode="External"/><Relationship Id="rId8" Type="http://schemas.openxmlformats.org/officeDocument/2006/relationships/hyperlink" Target="https://www.jetbrains.com/help/idea/2016.3/creating-and-running-your-first-restful-web-service-on-glassfish-application-server.html" TargetMode="External"/></Relationships>
</file>