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Read specified sections of </w:t>
      </w:r>
      <w:hyperlink r:id="rId5">
        <w:r w:rsidDel="00000000" w:rsidR="00000000" w:rsidRPr="00000000">
          <w:rPr>
            <w:rFonts w:ascii="Calibri" w:cs="Calibri" w:eastAsia="Calibri" w:hAnsi="Calibri"/>
            <w:b w:val="1"/>
            <w:color w:val="550000"/>
            <w:u w:val="single"/>
            <w:rtl w:val="0"/>
          </w:rPr>
          <w:t xml:space="preserve">Java Persistence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and explain the given concepts.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3, “What is Java persistence?”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66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Persistence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in Java and how it relates to the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impedance mismatch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discussed in unit 8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Managing accessing, persisting data between Java objects.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66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POJO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Plain Old Java Object. Describe things as the “Normal Class”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4, “Persistence Products, Which to Use?” — Name 2–3 of the major JPA implementations and indicate which one we are using in this class.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Open JPA, EclipseLink, TopLink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5, “Mapping, Round Pegs into Square Holes” — Annotate this Java class for object-relational mapping using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Java Annotations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with the property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access type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@Entity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public class Solder {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@transient</w:t>
        <w:br w:type="textWrapping"/>
        <w:t xml:space="preserve">    @ManyToMany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    private String name;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@transient</w:t>
        <w:br w:type="textWrapping"/>
        <w:t xml:space="preserve">    @ManyToOne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    private String rank;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@id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    private long serialNumber;</w:t>
        <w:br w:type="textWrapping"/>
        <w:br w:type="textWrapping"/>
        <w:t xml:space="preserve">    public String getName() { return name; }</w:t>
        <w:br w:type="textWrapping"/>
        <w:t xml:space="preserve">    public void setName(String name) { this.name = name; }</w:t>
        <w:br w:type="textWrapping"/>
        <w:br w:type="textWrapping"/>
        <w:t xml:space="preserve">    public String getRank() { return rank; }</w:t>
        <w:br w:type="textWrapping"/>
        <w:t xml:space="preserve">    public void setRank(String rank) { this.rank = rank; }</w:t>
        <w:br w:type="textWrapping"/>
        <w:br w:type="textWrapping"/>
        <w:t xml:space="preserve">    public String getSerialNumber() { return serialNumber; }</w:t>
        <w:br w:type="textWrapping"/>
        <w:t xml:space="preserve">    public void setSerialNumber(String serialNumber) { this.serialNumber = serialNumber; }</w:t>
        <w:br w:type="textWrapping"/>
        <w:t xml:space="preserve">}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 particular, add annotations for the following.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Persistence Entity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— Annotate the class as a persistence entity (Chapter 5 overview).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OID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— Annotate the object ID (Section 5.2).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Basic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fields — Annotate the non-ID fields (Section 5.6).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Relationships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— Add new fields/accessors/annotations that exemplify the following JPA relationships (Section 5.7 overview &amp; Sections 5.7.2–5.7.4).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many-to-one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relationship to a commander — The commander is another Solder object.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many-to-many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relationship to a Battle class — You don’t need to add the Battle class.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You don’t need to run this code, but be familiar with the concepts and the annotations that implement them.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6, “Runtime, Doing the Hokey Pokey (EntityManager)”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66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Entity Manager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(Chapter 6 overview)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EntityManager provides API for creating queries, accessing transactions, and finding, persisting, merging and deleting objects. The JPA API can be used in any Java environment including JSE and JEE.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66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Injection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— We’ll use J2EE dependency injection to access to a container-managed EntityManager (Chapter 6 overview).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 EntityManager can be created through an EntityManagerFactory, or can be injected into an instance variable in an EJB SessionBean, or can be looked up in JNDI in a JEE server.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66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Persistence operations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— Name the four basic persistence operations (Section 6.2).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Create, read, update, and delete.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/>
        <w:spacing w:after="660" w:before="0" w:line="276" w:lineRule="auto"/>
        <w:ind w:left="21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drawing>
          <wp:inline distB="114300" distT="114300" distL="114300" distR="114300">
            <wp:extent cx="5943600" cy="3822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Intellij’s support to database connections and JPA.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a new J2EE application as you created the JDK/J2EE application in the previous lab, activating the following “Java Enterprise” libraries/frameworks.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Application 3.1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J2EE Persistence 2.1; Provider: EclipseLink; setting up the library later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RESTful Web Service; using the library from the GlassFish installation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Store it in your repo under cs342/12postrelational/Lab12.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550000"/>
            <w:u w:val="single"/>
            <w:rtl w:val="0"/>
          </w:rPr>
          <w:t xml:space="preserve">Databases and SQL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— Note that Oracle must be running with the CPDB database loaded for this data connection to work.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Open the Intellij database tool pane by choosing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View→Tool Windows→Database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a new data source for your existing Oracle CPDB database, name itcpdb&amp;localhost and make sure that “Test Connection” works properly. You may need to download a required library (to make IDEA happy; GlassFish already has all the required libraries).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Fetch the records in the Person table by double-clicking on the table name in the Database pane.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550000"/>
            <w:u w:val="single"/>
            <w:rtl w:val="0"/>
          </w:rPr>
          <w:t xml:space="preserve">Java Persistence API (JPA)</w:t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Open the Intellij “Persistence” tool pane by choosing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View→Tool Windows→Persistence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Calibri" w:cs="Calibri" w:eastAsia="Calibri" w:hAnsi="Calibri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Calibri" w:cs="Calibri" w:eastAsia="Calibri" w:hAnsi="Calibri"/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ascii="Calibri" w:cs="Calibri" w:eastAsia="Calibri" w:hAnsi="Calibri"/>
        <w:u w:val="no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Calibri" w:cs="Calibri" w:eastAsia="Calibri" w:hAnsi="Calibri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books.org/wiki/Java_Persistence" TargetMode="External"/><Relationship Id="rId6" Type="http://schemas.openxmlformats.org/officeDocument/2006/relationships/image" Target="media/image01.png"/><Relationship Id="rId7" Type="http://schemas.openxmlformats.org/officeDocument/2006/relationships/hyperlink" Target="https://www.jetbrains.com/help/idea/2016.3/databases-and-sql.html" TargetMode="External"/><Relationship Id="rId8" Type="http://schemas.openxmlformats.org/officeDocument/2006/relationships/hyperlink" Target="https://www.jetbrains.com/help/idea/2016.3/java-persistence-api-jpa.html" TargetMode="External"/></Relationships>
</file>