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Work through the following materials this week: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Read Pramod Sadalage’s </w:t>
      </w:r>
      <w:hyperlink r:id="rId5">
        <w:r w:rsidDel="00000000" w:rsidR="00000000" w:rsidRPr="00000000">
          <w:rPr>
            <w:rFonts w:ascii="Calibri" w:cs="Calibri" w:eastAsia="Calibri" w:hAnsi="Calibri"/>
            <w:b w:val="1"/>
            <w:color w:val="550000"/>
            <w:u w:val="single"/>
            <w:rtl w:val="0"/>
          </w:rPr>
          <w:t xml:space="preserve">NoSQL Databases: An Overview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(circa 2012) and explain: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key motivations for considering non-relational database systems.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Allows developers to develop without having to convert in-memory structures to relational structures.</w:t>
        <w:br w:type="textWrapping"/>
        <w:t xml:space="preserve">Relational databases were not designed to run efficiently on clusters.</w:t>
        <w:br w:type="textWrapping"/>
        <w:t xml:space="preserve">Rise of web made more things use clusters.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aggregate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data models.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collection of data that we interact with as a unit. These units of data or aggregates form the boundaries for ACID operations with the database, Key-value, Document, and Column-family databases can all be seen as forms of aggregate-oriented database.</w:t>
        <w:br w:type="textWrapping"/>
        <w:t xml:space="preserve">Makes distribution of data easier.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polyglot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persistence.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Using multiple data storage technologies. Different data is best dealt with different storage.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relevance of the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CAP theorem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CAP theorem which states that in any distributed system we can choose only two of consistency, availability or partition tolerance. </w:t>
        <w:br w:type="textWrapping"/>
        <w:t xml:space="preserve">The CAP theorem states that if you get a network partition, you have to trade off availability of data versus consistency of data. </w:t>
        <w:br w:type="textWrapping"/>
        <w:t xml:space="preserve">noSql gives you more tools to deal with the CAP limitations of databases, and which you want to prioritize.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types of NoSQL databases.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Key-value, Document databases, column family stores, graph databases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when (and when not) to use NoSQL database systems.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 improve programmer productivity by using a database that better matches an application's needs.</w:t>
        <w:br w:type="textWrapping"/>
        <w:t xml:space="preserve">To improve data access performance via some combination of handling larger data volumes, reducing latency, and improving throughput.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 alternate source of this basic information is Martin Fowler’s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550000"/>
            <w:u w:val="single"/>
            <w:rtl w:val="0"/>
          </w:rPr>
          <w:t xml:space="preserve">Introduction to NoSQL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video.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“Getting Started with the Key/Value API”, Chapters 3–5, from the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550000"/>
            <w:u w:val="single"/>
            <w:rtl w:val="0"/>
          </w:rPr>
          <w:t xml:space="preserve">Oracle NoSQL Database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documentation as a reference. Be sure to know how to: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Compare and contrast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Major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minor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key components.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the appropriate commands to write and retrieve records.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 sure that you can compare and contrast relational data representations with key-value representations. Note that we will not use these higher-level features: the NoSQL Table API (We’ll focus on the lower-level key/value API); the Avro value schema mechanism (We’ll restrict ourselves to simple string values).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This practical article by Re Lai,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550000"/>
            <w:u w:val="single"/>
            <w:rtl w:val="0"/>
          </w:rPr>
          <w:t xml:space="preserve">Enterprise Application Development Using Oracle NoSQL Database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is also helpful. It includes some material that we don't care about (i.e., NetBeans, UML, Avro value-handling) but the following sections are useful for the homework. Skim them now and be prepared to reference them later as needed.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“Represent Key-Value Pairs” — Designing keys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“CRUD” — Implementing the standard persistent data operations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“Composite Keys” — Designing multi-element keys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“Model Entities” — Modeling relational records in a KV store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“Model Secondary Indexes” — Storing and retrieving sorted data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“Model Multi-values and Relationships” — Modeling foreign key relationships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Calibri" w:cs="Calibri" w:eastAsia="Calibri" w:hAnsi="Calibri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="Calibri" w:cs="Calibri" w:eastAsia="Calibri" w:hAnsi="Calibri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thoughtworks.com/insights/blog/nosql-databases-overview" TargetMode="External"/><Relationship Id="rId6" Type="http://schemas.openxmlformats.org/officeDocument/2006/relationships/hyperlink" Target="http://www.youtube.com/watch?v=qI_g07C_Q5I" TargetMode="External"/><Relationship Id="rId7" Type="http://schemas.openxmlformats.org/officeDocument/2006/relationships/hyperlink" Target="http://docs.oracle.com/cd/NOSQL/html/index.html" TargetMode="External"/><Relationship Id="rId8" Type="http://schemas.openxmlformats.org/officeDocument/2006/relationships/hyperlink" Target="http://www.oracle.com/technetwork/articles/bigdata/oracle-nosqldb-appdev-1891870.html" TargetMode="External"/></Relationships>
</file>