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through the following materials this week: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Section 30.1: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and explain the four kinds of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control measures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required for database security.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Access control - restrict access</w:t>
        <w:br w:type="textWrapping"/>
        <w:t xml:space="preserve">Inference control - infer someone about the user through stats</w:t>
        <w:br w:type="textWrapping"/>
        <w:t xml:space="preserve">Flow control - prevent data from flowing in a way to an authorized users</w:t>
        <w:br w:type="textWrapping"/>
        <w:t xml:space="preserve">Data encryption - data transferred through networks must be encrypted to be safe.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Compare and contrast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information security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information privacy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Security is protecting things from unauthorized use. Privacy goes beyond security. How we use the data we have.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Imperva’s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Top 5 Database Security Threats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110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and explain the security threats discussed in the article.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110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Excessive, inappropriate, and unused privileges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Grant someone privileges that exceed the requirements for their job function.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110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Privilege abuse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People with access abuse their power.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110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Insufficient web application security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Common insecurity is SQL injection and Web shell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110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Weak audit trails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Checking accounts and data weakly.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110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Unsecured storage media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Physical access to database.</w:t>
      </w:r>
    </w:p>
    <w:p w:rsidR="00000000" w:rsidDel="00000000" w:rsidP="00000000" w:rsidRDefault="00000000" w:rsidRPr="00000000">
      <w:pPr>
        <w:pBdr/>
        <w:spacing w:after="1100" w:lineRule="auto"/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imperva.com/docs/gated/WP_Top_5_Database_Security_Threats.pdf" TargetMode="External"/></Relationships>
</file>