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3A8A"/>
          <w:sz w:val="48"/>
        </w:rPr>
        <w:t>KPHCIP field community engagement Web Application</w:t>
      </w:r>
    </w:p>
    <w:p>
      <w:pPr>
        <w:spacing w:after="360"/>
        <w:jc w:val="center"/>
      </w:pPr>
      <w:r>
        <w:rPr>
          <w:rFonts w:ascii="Calibri" w:hAnsi="Calibri"/>
          <w:i/>
          <w:color w:val="64748B"/>
          <w:sz w:val="26"/>
        </w:rPr>
        <w:t>Comprehensive System Functionality &amp; Executive Operations Report</w:t>
        <w:br/>
        <w:t>KP Health Infrastructure &amp; Capacity Improvement Program (KP HCIP)</w:t>
      </w:r>
    </w:p>
    <w:tbl>
      <w:tblPr>
        <w:tblW w:type="auto" w:w="0"/>
        <w:jc w:val="center"/>
        <w:tblLook w:firstColumn="1" w:firstRow="1" w:lastColumn="0" w:lastRow="0" w:noHBand="0" w:noVBand="1" w:val="04A0"/>
      </w:tblPr>
      <w:tblGrid>
        <w:gridCol w:w="9648"/>
      </w:tblGrid>
      <w:tr>
        <w:tc>
          <w:tcPr>
            <w:tcW w:type="dxa" w:w="9648"/>
            <w:shd w:fill="F1F5F9"/>
            <w:tcBorders>
              <w:top w:val="none"/>
              <w:left w:val="single" w:sz="36" w:space="0" w:color="2563EB"/>
              <w:bottom w:val="none"/>
              <w:right w:val="none"/>
            </w:tcBorders>
          </w:tcPr>
          <w:p>
            <w:pPr>
              <w:spacing w:before="80" w:after="80"/>
              <w:ind w:left="144" w:right="144"/>
            </w:pPr>
            <w:r>
              <w:rPr>
                <w:b/>
                <w:color w:val="1E3A8A"/>
                <w:sz w:val="22"/>
              </w:rPr>
              <w:t>Executive Summary &amp; Scope Note</w:t>
              <w:br/>
            </w:r>
            <w:r>
              <w:rPr>
                <w:i/>
                <w:color w:val="334155"/>
                <w:sz w:val="21"/>
              </w:rPr>
              <w:t>This document provides a non-technical functional report of the KPHCIP field community engagement Web Application. It outlines the core purpose of the system, step-by-step submission processes, evidence verification workflows, and detailed explanations of all user panels including Admin, Executive, Social Mobilizer, District Coordinator, GRM Focal Person, and TL/DTL Reviewer panels.</w:t>
            </w:r>
          </w:p>
        </w:tc>
      </w:tr>
    </w:tbl>
    <w:p>
      <w:pPr>
        <w:spacing w:after="80"/>
      </w:pPr>
    </w:p>
    <w:p>
      <w:pPr>
        <w:keepNext/>
        <w:spacing w:before="320" w:after="120"/>
      </w:pPr>
      <w:r>
        <w:rPr>
          <w:rFonts w:ascii="Calibri" w:hAnsi="Calibri"/>
          <w:b/>
          <w:color w:val="1E3A8A"/>
          <w:sz w:val="36"/>
        </w:rPr>
        <w:t>1. Application Purpose &amp; Core Objective</w:t>
      </w:r>
    </w:p>
    <w:p>
      <w:pPr>
        <w:spacing w:after="120"/>
      </w:pPr>
      <w:r>
        <w:rPr>
          <w:i w:val="0"/>
          <w:color w:val="334155"/>
        </w:rPr>
        <w:t>KPHCIP field community engagement is an integrated, role-based field activity management and monitoring platform designed for the KP Health Infrastructure &amp; Capacity Improvement Program (KP HCIP). The application digitizes community awareness activities, healthcare facility monitoring, capacity building sessions, and grievance tracking across target districts (Nowshera, Peshawar, Charsadda, and Mardan).</w:t>
      </w:r>
    </w:p>
    <w:p>
      <w:pPr>
        <w:spacing w:after="120"/>
      </w:pPr>
      <w:r>
        <w:rPr>
          <w:i w:val="0"/>
          <w:color w:val="334155"/>
        </w:rPr>
        <w:t>The primary goal of KPHCIP field community engagement is to replace manual paper reporting and fragmented messaging channels with an auditable digital record. It connects field workers directly with program leadership, providing real-time visibility into whether planned field activities are occurring as scheduled, with what participation levels, and under what quality standard.</w:t>
      </w:r>
    </w:p>
    <w:p>
      <w:pPr>
        <w:keepNext/>
        <w:spacing w:before="240" w:after="80"/>
      </w:pPr>
      <w:r>
        <w:rPr>
          <w:rFonts w:ascii="Calibri" w:hAnsi="Calibri"/>
          <w:b/>
          <w:color w:val="059669"/>
          <w:sz w:val="28"/>
        </w:rPr>
        <w:t>Key Operational Highlights:</w:t>
      </w:r>
    </w:p>
    <w:p>
      <w:pPr>
        <w:pStyle w:val="ListBullet"/>
        <w:spacing w:after="60"/>
        <w:ind w:left="360"/>
      </w:pPr>
      <w:r>
        <w:rPr>
          <w:b/>
          <w:color w:val="334155"/>
        </w:rPr>
        <w:t xml:space="preserve">Field-First Operations: </w:t>
      </w:r>
      <w:r>
        <w:rPr>
          <w:color w:val="334155"/>
        </w:rPr>
        <w:t>Streamlined data entry tailored for field staff using mobile devices.</w:t>
      </w:r>
    </w:p>
    <w:p>
      <w:pPr>
        <w:pStyle w:val="ListBullet"/>
        <w:spacing w:after="60"/>
        <w:ind w:left="360"/>
      </w:pPr>
      <w:r>
        <w:rPr>
          <w:b/>
          <w:color w:val="334155"/>
        </w:rPr>
        <w:t xml:space="preserve">Verifiable Submissions: </w:t>
      </w:r>
      <w:r>
        <w:rPr>
          <w:color w:val="334155"/>
        </w:rPr>
        <w:t>Every activity submission requires live photographic evidence with browser GPS geolocation and server-side verification.</w:t>
      </w:r>
    </w:p>
    <w:p>
      <w:pPr>
        <w:pStyle w:val="ListBullet"/>
        <w:spacing w:after="60"/>
        <w:ind w:left="360"/>
      </w:pPr>
      <w:r>
        <w:rPr>
          <w:b/>
          <w:color w:val="334155"/>
        </w:rPr>
        <w:t xml:space="preserve">Planned Target Alignment: </w:t>
      </w:r>
      <w:r>
        <w:rPr>
          <w:color w:val="334155"/>
        </w:rPr>
        <w:t>Submissions are matched directly against monthly and weekly assigned targets.</w:t>
      </w:r>
    </w:p>
    <w:p>
      <w:pPr>
        <w:pStyle w:val="ListBullet"/>
        <w:spacing w:after="60"/>
        <w:ind w:left="360"/>
      </w:pPr>
      <w:r>
        <w:rPr>
          <w:b/>
          <w:color w:val="334155"/>
        </w:rPr>
        <w:t xml:space="preserve">Multi-Tiered Oversight: </w:t>
      </w:r>
      <w:r>
        <w:rPr>
          <w:color w:val="334155"/>
        </w:rPr>
        <w:t>Role-tailored dashboards provide custom views for Field Mobilizers, District Coordinators, GRM Officers, TL/DTL Reviewers, Admins, and Executive Leadership.</w:t>
      </w:r>
    </w:p>
    <w:p>
      <w:pPr>
        <w:keepNext/>
        <w:spacing w:before="320" w:after="120"/>
      </w:pPr>
      <w:r>
        <w:rPr>
          <w:rFonts w:ascii="Calibri" w:hAnsi="Calibri"/>
          <w:b/>
          <w:color w:val="1E3A8A"/>
          <w:sz w:val="36"/>
        </w:rPr>
        <w:t>2. System Architecture &amp; Role-Based Panels</w:t>
      </w:r>
    </w:p>
    <w:p>
      <w:pPr>
        <w:spacing w:after="120"/>
      </w:pPr>
      <w:r>
        <w:rPr>
          <w:i w:val="0"/>
          <w:color w:val="334155"/>
        </w:rPr>
        <w:t>KPHCIP field community engagement is organized into distinct panels according to organizational roles. Each user role is automatically routed to its dedicated workspace upon logging in.</w:t>
      </w:r>
    </w:p>
    <w:tbl>
      <w:tblPr>
        <w:tblW w:type="auto" w:w="0"/>
        <w:jc w:val="center"/>
        <w:tblLook w:firstColumn="1" w:firstRow="1" w:lastColumn="0" w:lastRow="0" w:noHBand="0" w:noVBand="1" w:val="04A0"/>
      </w:tblPr>
      <w:tblGrid>
        <w:gridCol w:w="3216"/>
        <w:gridCol w:w="3216"/>
        <w:gridCol w:w="3216"/>
      </w:tblGrid>
      <w:tr>
        <w:tc>
          <w:tcPr>
            <w:tcW w:type="dxa" w:w="2592"/>
            <w:shd w:fill="1E3A8A"/>
          </w:tcPr>
          <w:p>
            <w:pPr>
              <w:spacing w:before="80" w:after="80"/>
              <w:jc w:val="left"/>
            </w:pPr>
            <w:r>
              <w:rPr>
                <w:b/>
                <w:color w:val="FFFFFF"/>
                <w:sz w:val="20"/>
              </w:rPr>
              <w:t>User Role</w:t>
            </w:r>
          </w:p>
        </w:tc>
        <w:tc>
          <w:tcPr>
            <w:tcW w:type="dxa" w:w="2592"/>
            <w:shd w:fill="1E3A8A"/>
          </w:tcPr>
          <w:p>
            <w:pPr>
              <w:spacing w:before="80" w:after="80"/>
              <w:jc w:val="left"/>
            </w:pPr>
            <w:r>
              <w:rPr>
                <w:b/>
                <w:color w:val="FFFFFF"/>
                <w:sz w:val="20"/>
              </w:rPr>
              <w:t>System Panel</w:t>
            </w:r>
          </w:p>
        </w:tc>
        <w:tc>
          <w:tcPr>
            <w:tcW w:type="dxa" w:w="4464"/>
            <w:shd w:fill="1E3A8A"/>
          </w:tcPr>
          <w:p>
            <w:pPr>
              <w:spacing w:before="80" w:after="80"/>
              <w:jc w:val="left"/>
            </w:pPr>
            <w:r>
              <w:rPr>
                <w:b/>
                <w:color w:val="FFFFFF"/>
                <w:sz w:val="20"/>
              </w:rPr>
              <w:t>Primary Focus &amp; Scope</w:t>
            </w:r>
          </w:p>
        </w:tc>
      </w:tr>
      <w:tr>
        <w:tc>
          <w:tcPr>
            <w:tcW w:type="dxa" w:w="2592"/>
            <w:shd w:fill="FFFFFF"/>
            <w:tcBorders>
              <w:top w:val="single" w:sz="4" w:space="0" w:color="CBD5E1"/>
              <w:left w:val="none"/>
              <w:bottom w:val="single" w:sz="4" w:space="0" w:color="CBD5E1"/>
              <w:right w:val="none"/>
            </w:tcBorders>
          </w:tcPr>
          <w:p>
            <w:pPr>
              <w:spacing w:before="60" w:after="60"/>
              <w:jc w:val="left"/>
            </w:pPr>
            <w:r>
              <w:rPr>
                <w:color w:val="334155"/>
                <w:sz w:val="19"/>
              </w:rPr>
              <w:t>Social Mobilizer</w:t>
            </w:r>
          </w:p>
        </w:tc>
        <w:tc>
          <w:tcPr>
            <w:tcW w:type="dxa" w:w="2592"/>
            <w:shd w:fill="FFFFFF"/>
            <w:tcBorders>
              <w:top w:val="single" w:sz="4" w:space="0" w:color="CBD5E1"/>
              <w:left w:val="none"/>
              <w:bottom w:val="single" w:sz="4" w:space="0" w:color="CBD5E1"/>
              <w:right w:val="none"/>
            </w:tcBorders>
          </w:tcPr>
          <w:p>
            <w:pPr>
              <w:spacing w:before="60" w:after="60"/>
              <w:jc w:val="left"/>
            </w:pPr>
            <w:r>
              <w:rPr>
                <w:color w:val="334155"/>
                <w:sz w:val="19"/>
              </w:rPr>
              <w:t>Mobilizer Panel</w:t>
            </w:r>
          </w:p>
        </w:tc>
        <w:tc>
          <w:tcPr>
            <w:tcW w:type="dxa" w:w="4464"/>
            <w:shd w:fill="FFFFFF"/>
            <w:tcBorders>
              <w:top w:val="single" w:sz="4" w:space="0" w:color="CBD5E1"/>
              <w:left w:val="none"/>
              <w:bottom w:val="single" w:sz="4" w:space="0" w:color="CBD5E1"/>
              <w:right w:val="none"/>
            </w:tcBorders>
          </w:tcPr>
          <w:p>
            <w:pPr>
              <w:spacing w:before="60" w:after="60"/>
              <w:jc w:val="left"/>
            </w:pPr>
            <w:r>
              <w:rPr>
                <w:color w:val="334155"/>
                <w:sz w:val="19"/>
              </w:rPr>
              <w:t>Submit field awareness activities, track 2-member team assignments, and view submission history.</w:t>
            </w:r>
          </w:p>
        </w:tc>
      </w:tr>
      <w:tr>
        <w:tc>
          <w:tcPr>
            <w:tcW w:type="dxa" w:w="2592"/>
            <w:shd w:fill="F8FAFC"/>
            <w:tcBorders>
              <w:top w:val="single" w:sz="4" w:space="0" w:color="CBD5E1"/>
              <w:left w:val="none"/>
              <w:bottom w:val="single" w:sz="4" w:space="0" w:color="CBD5E1"/>
              <w:right w:val="none"/>
            </w:tcBorders>
          </w:tcPr>
          <w:p>
            <w:pPr>
              <w:spacing w:before="60" w:after="60"/>
              <w:jc w:val="left"/>
            </w:pPr>
            <w:r>
              <w:rPr>
                <w:color w:val="334155"/>
                <w:sz w:val="19"/>
              </w:rPr>
              <w:t>District Coordinator</w:t>
            </w:r>
          </w:p>
        </w:tc>
        <w:tc>
          <w:tcPr>
            <w:tcW w:type="dxa" w:w="2592"/>
            <w:shd w:fill="F8FAFC"/>
            <w:tcBorders>
              <w:top w:val="single" w:sz="4" w:space="0" w:color="CBD5E1"/>
              <w:left w:val="none"/>
              <w:bottom w:val="single" w:sz="4" w:space="0" w:color="CBD5E1"/>
              <w:right w:val="none"/>
            </w:tcBorders>
          </w:tcPr>
          <w:p>
            <w:pPr>
              <w:spacing w:before="60" w:after="60"/>
              <w:jc w:val="left"/>
            </w:pPr>
            <w:r>
              <w:rPr>
                <w:color w:val="334155"/>
                <w:sz w:val="19"/>
              </w:rPr>
              <w:t>Coordinator Panel</w:t>
            </w:r>
          </w:p>
        </w:tc>
        <w:tc>
          <w:tcPr>
            <w:tcW w:type="dxa" w:w="4464"/>
            <w:shd w:fill="F8FAFC"/>
            <w:tcBorders>
              <w:top w:val="single" w:sz="4" w:space="0" w:color="CBD5E1"/>
              <w:left w:val="none"/>
              <w:bottom w:val="single" w:sz="4" w:space="0" w:color="CBD5E1"/>
              <w:right w:val="none"/>
            </w:tcBorders>
          </w:tcPr>
          <w:p>
            <w:pPr>
              <w:spacing w:before="60" w:after="60"/>
              <w:jc w:val="left"/>
            </w:pPr>
            <w:r>
              <w:rPr>
                <w:color w:val="334155"/>
                <w:sz w:val="19"/>
              </w:rPr>
              <w:t>Submit district environmental/safeguarding activities &amp; complete multi-section DCMO monitoring visit checklists.</w:t>
            </w:r>
          </w:p>
        </w:tc>
      </w:tr>
      <w:tr>
        <w:tc>
          <w:tcPr>
            <w:tcW w:type="dxa" w:w="2592"/>
            <w:shd w:fill="FFFFFF"/>
            <w:tcBorders>
              <w:top w:val="single" w:sz="4" w:space="0" w:color="CBD5E1"/>
              <w:left w:val="none"/>
              <w:bottom w:val="single" w:sz="4" w:space="0" w:color="CBD5E1"/>
              <w:right w:val="none"/>
            </w:tcBorders>
          </w:tcPr>
          <w:p>
            <w:pPr>
              <w:spacing w:before="60" w:after="60"/>
              <w:jc w:val="left"/>
            </w:pPr>
            <w:r>
              <w:rPr>
                <w:color w:val="334155"/>
                <w:sz w:val="19"/>
              </w:rPr>
              <w:t>GRM Focal Person</w:t>
            </w:r>
          </w:p>
        </w:tc>
        <w:tc>
          <w:tcPr>
            <w:tcW w:type="dxa" w:w="2592"/>
            <w:shd w:fill="FFFFFF"/>
            <w:tcBorders>
              <w:top w:val="single" w:sz="4" w:space="0" w:color="CBD5E1"/>
              <w:left w:val="none"/>
              <w:bottom w:val="single" w:sz="4" w:space="0" w:color="CBD5E1"/>
              <w:right w:val="none"/>
            </w:tcBorders>
          </w:tcPr>
          <w:p>
            <w:pPr>
              <w:spacing w:before="60" w:after="60"/>
              <w:jc w:val="left"/>
            </w:pPr>
            <w:r>
              <w:rPr>
                <w:color w:val="334155"/>
                <w:sz w:val="19"/>
              </w:rPr>
              <w:t>GRM Panel</w:t>
            </w:r>
          </w:p>
        </w:tc>
        <w:tc>
          <w:tcPr>
            <w:tcW w:type="dxa" w:w="4464"/>
            <w:shd w:fill="FFFFFF"/>
            <w:tcBorders>
              <w:top w:val="single" w:sz="4" w:space="0" w:color="CBD5E1"/>
              <w:left w:val="none"/>
              <w:bottom w:val="single" w:sz="4" w:space="0" w:color="CBD5E1"/>
              <w:right w:val="none"/>
            </w:tcBorders>
          </w:tcPr>
          <w:p>
            <w:pPr>
              <w:spacing w:before="60" w:after="60"/>
              <w:jc w:val="left"/>
            </w:pPr>
            <w:r>
              <w:rPr>
                <w:color w:val="334155"/>
                <w:sz w:val="19"/>
              </w:rPr>
              <w:t>Submit grievance capacity building events (PCMC &amp; HMC) and track district grievance activities.</w:t>
            </w:r>
          </w:p>
        </w:tc>
      </w:tr>
      <w:tr>
        <w:tc>
          <w:tcPr>
            <w:tcW w:type="dxa" w:w="2592"/>
            <w:shd w:fill="F8FAFC"/>
            <w:tcBorders>
              <w:top w:val="single" w:sz="4" w:space="0" w:color="CBD5E1"/>
              <w:left w:val="none"/>
              <w:bottom w:val="single" w:sz="4" w:space="0" w:color="CBD5E1"/>
              <w:right w:val="none"/>
            </w:tcBorders>
          </w:tcPr>
          <w:p>
            <w:pPr>
              <w:spacing w:before="60" w:after="60"/>
              <w:jc w:val="left"/>
            </w:pPr>
            <w:r>
              <w:rPr>
                <w:color w:val="334155"/>
                <w:sz w:val="19"/>
              </w:rPr>
              <w:t>TL / DTL Reviewer</w:t>
            </w:r>
          </w:p>
        </w:tc>
        <w:tc>
          <w:tcPr>
            <w:tcW w:type="dxa" w:w="2592"/>
            <w:shd w:fill="F8FAFC"/>
            <w:tcBorders>
              <w:top w:val="single" w:sz="4" w:space="0" w:color="CBD5E1"/>
              <w:left w:val="none"/>
              <w:bottom w:val="single" w:sz="4" w:space="0" w:color="CBD5E1"/>
              <w:right w:val="none"/>
            </w:tcBorders>
          </w:tcPr>
          <w:p>
            <w:pPr>
              <w:spacing w:before="60" w:after="60"/>
              <w:jc w:val="left"/>
            </w:pPr>
            <w:r>
              <w:rPr>
                <w:color w:val="334155"/>
                <w:sz w:val="19"/>
              </w:rPr>
              <w:t>Reviewer Panel</w:t>
            </w:r>
          </w:p>
        </w:tc>
        <w:tc>
          <w:tcPr>
            <w:tcW w:type="dxa" w:w="4464"/>
            <w:shd w:fill="F8FAFC"/>
            <w:tcBorders>
              <w:top w:val="single" w:sz="4" w:space="0" w:color="CBD5E1"/>
              <w:left w:val="none"/>
              <w:bottom w:val="single" w:sz="4" w:space="0" w:color="CBD5E1"/>
              <w:right w:val="none"/>
            </w:tcBorders>
          </w:tcPr>
          <w:p>
            <w:pPr>
              <w:spacing w:before="60" w:after="60"/>
              <w:jc w:val="left"/>
            </w:pPr>
            <w:r>
              <w:rPr>
                <w:color w:val="334155"/>
                <w:sz w:val="19"/>
              </w:rPr>
              <w:t>Inspect submitted DCMO monitoring visit checklists, evaluate quality scores, provide remarks, and approve/reject records.</w:t>
            </w:r>
          </w:p>
        </w:tc>
      </w:tr>
      <w:tr>
        <w:tc>
          <w:tcPr>
            <w:tcW w:type="dxa" w:w="2592"/>
            <w:shd w:fill="FFFFFF"/>
            <w:tcBorders>
              <w:top w:val="single" w:sz="4" w:space="0" w:color="CBD5E1"/>
              <w:left w:val="none"/>
              <w:bottom w:val="single" w:sz="4" w:space="0" w:color="CBD5E1"/>
              <w:right w:val="none"/>
            </w:tcBorders>
          </w:tcPr>
          <w:p>
            <w:pPr>
              <w:spacing w:before="60" w:after="60"/>
              <w:jc w:val="left"/>
            </w:pPr>
            <w:r>
              <w:rPr>
                <w:color w:val="334155"/>
                <w:sz w:val="19"/>
              </w:rPr>
              <w:t>Super Admin</w:t>
            </w:r>
          </w:p>
        </w:tc>
        <w:tc>
          <w:tcPr>
            <w:tcW w:type="dxa" w:w="2592"/>
            <w:shd w:fill="FFFFFF"/>
            <w:tcBorders>
              <w:top w:val="single" w:sz="4" w:space="0" w:color="CBD5E1"/>
              <w:left w:val="none"/>
              <w:bottom w:val="single" w:sz="4" w:space="0" w:color="CBD5E1"/>
              <w:right w:val="none"/>
            </w:tcBorders>
          </w:tcPr>
          <w:p>
            <w:pPr>
              <w:spacing w:before="60" w:after="60"/>
              <w:jc w:val="left"/>
            </w:pPr>
            <w:r>
              <w:rPr>
                <w:color w:val="334155"/>
                <w:sz w:val="19"/>
              </w:rPr>
              <w:t>Admin Panel</w:t>
            </w:r>
          </w:p>
        </w:tc>
        <w:tc>
          <w:tcPr>
            <w:tcW w:type="dxa" w:w="4464"/>
            <w:shd w:fill="FFFFFF"/>
            <w:tcBorders>
              <w:top w:val="single" w:sz="4" w:space="0" w:color="CBD5E1"/>
              <w:left w:val="none"/>
              <w:bottom w:val="single" w:sz="4" w:space="0" w:color="CBD5E1"/>
              <w:right w:val="none"/>
            </w:tcBorders>
          </w:tcPr>
          <w:p>
            <w:pPr>
              <w:spacing w:before="60" w:after="60"/>
              <w:jc w:val="left"/>
            </w:pPr>
            <w:r>
              <w:rPr>
                <w:color w:val="334155"/>
                <w:sz w:val="19"/>
              </w:rPr>
              <w:t>Manage users, team pairings, district setups, assign monthly target plans, moderate flagged evidence, and view system audit logs.</w:t>
            </w:r>
          </w:p>
        </w:tc>
      </w:tr>
      <w:tr>
        <w:tc>
          <w:tcPr>
            <w:tcW w:type="dxa" w:w="2592"/>
            <w:shd w:fill="F8FAFC"/>
            <w:tcBorders>
              <w:top w:val="single" w:sz="4" w:space="0" w:color="CBD5E1"/>
              <w:left w:val="none"/>
              <w:bottom w:val="single" w:sz="4" w:space="0" w:color="CBD5E1"/>
              <w:right w:val="none"/>
            </w:tcBorders>
          </w:tcPr>
          <w:p>
            <w:pPr>
              <w:spacing w:before="60" w:after="60"/>
              <w:jc w:val="left"/>
            </w:pPr>
            <w:r>
              <w:rPr>
                <w:color w:val="334155"/>
                <w:sz w:val="19"/>
              </w:rPr>
              <w:t>Executive Official</w:t>
            </w:r>
          </w:p>
        </w:tc>
        <w:tc>
          <w:tcPr>
            <w:tcW w:type="dxa" w:w="2592"/>
            <w:shd w:fill="F8FAFC"/>
            <w:tcBorders>
              <w:top w:val="single" w:sz="4" w:space="0" w:color="CBD5E1"/>
              <w:left w:val="none"/>
              <w:bottom w:val="single" w:sz="4" w:space="0" w:color="CBD5E1"/>
              <w:right w:val="none"/>
            </w:tcBorders>
          </w:tcPr>
          <w:p>
            <w:pPr>
              <w:spacing w:before="60" w:after="60"/>
              <w:jc w:val="left"/>
            </w:pPr>
            <w:r>
              <w:rPr>
                <w:color w:val="334155"/>
                <w:sz w:val="19"/>
              </w:rPr>
              <w:t>Executive Panel</w:t>
            </w:r>
          </w:p>
        </w:tc>
        <w:tc>
          <w:tcPr>
            <w:tcW w:type="dxa" w:w="4464"/>
            <w:shd w:fill="F8FAFC"/>
            <w:tcBorders>
              <w:top w:val="single" w:sz="4" w:space="0" w:color="CBD5E1"/>
              <w:left w:val="none"/>
              <w:bottom w:val="single" w:sz="4" w:space="0" w:color="CBD5E1"/>
              <w:right w:val="none"/>
            </w:tcBorders>
          </w:tcPr>
          <w:p>
            <w:pPr>
              <w:spacing w:before="60" w:after="60"/>
              <w:jc w:val="left"/>
            </w:pPr>
            <w:r>
              <w:rPr>
                <w:color w:val="334155"/>
                <w:sz w:val="19"/>
              </w:rPr>
              <w:t>Access high-level analytics, participant demographics, district performance leaderboards, and export official Excel reports.</w:t>
            </w:r>
          </w:p>
        </w:tc>
      </w:tr>
    </w:tbl>
    <w:p>
      <w:pPr>
        <w:spacing w:after="120"/>
      </w:pPr>
    </w:p>
    <w:p>
      <w:pPr>
        <w:keepNext/>
        <w:spacing w:before="320" w:after="120"/>
      </w:pPr>
      <w:r>
        <w:rPr>
          <w:rFonts w:ascii="Calibri" w:hAnsi="Calibri"/>
          <w:b/>
          <w:color w:val="1E3A8A"/>
          <w:sz w:val="36"/>
        </w:rPr>
        <w:t>3. Detailed Explanation of System Panels &amp; Displays</w:t>
      </w:r>
    </w:p>
    <w:p>
      <w:pPr>
        <w:keepNext/>
        <w:spacing w:before="240" w:after="80"/>
      </w:pPr>
      <w:r>
        <w:rPr>
          <w:rFonts w:ascii="Calibri" w:hAnsi="Calibri"/>
          <w:b/>
          <w:color w:val="059669"/>
          <w:sz w:val="28"/>
        </w:rPr>
        <w:t>3.1 Social Mobilizer Panel (Field Member View)</w:t>
      </w:r>
    </w:p>
    <w:p>
      <w:pPr>
        <w:spacing w:after="120"/>
      </w:pPr>
      <w:r>
        <w:rPr>
          <w:i w:val="0"/>
          <w:color w:val="334155"/>
        </w:rPr>
        <w:t>The Social Mobilizer Panel is designed for field staff conducting ground-level community engagements. Mobilizers operate in 2-person paired teams within designated districts.</w:t>
      </w:r>
    </w:p>
    <w:p>
      <w:pPr>
        <w:keepNext/>
        <w:spacing w:before="160" w:after="60"/>
      </w:pPr>
      <w:r>
        <w:rPr>
          <w:rFonts w:ascii="Calibri" w:hAnsi="Calibri"/>
          <w:b/>
          <w:color w:val="1E3A8A"/>
          <w:sz w:val="24"/>
        </w:rPr>
        <w:t>Core Functionalities &amp; Workflows:</w:t>
      </w:r>
    </w:p>
    <w:p>
      <w:pPr>
        <w:pStyle w:val="ListBullet"/>
        <w:spacing w:after="60"/>
        <w:ind w:left="360"/>
      </w:pPr>
      <w:r>
        <w:rPr>
          <w:b/>
          <w:color w:val="334155"/>
        </w:rPr>
        <w:t xml:space="preserve">Activity Submission Form: </w:t>
      </w:r>
      <w:r>
        <w:rPr>
          <w:color w:val="334155"/>
        </w:rPr>
        <w:t>Mobilizers log activities by selecting an assigned health facility or community location. They select from predefined activity types: Community engagement session, Behavioural change and communication (BCC) campaign, or Wash &amp; health hygiene in schools.</w:t>
      </w:r>
    </w:p>
    <w:p>
      <w:pPr>
        <w:pStyle w:val="ListBullet"/>
        <w:spacing w:after="60"/>
        <w:ind w:left="360"/>
      </w:pPr>
      <w:r>
        <w:rPr>
          <w:b/>
          <w:color w:val="334155"/>
        </w:rPr>
        <w:t xml:space="preserve">Team Attendance Capture: </w:t>
      </w:r>
      <w:r>
        <w:rPr>
          <w:color w:val="334155"/>
        </w:rPr>
        <w:t>For BCC campaigns, both paired team members are mandatory attendees. For other sessions, individual attendance can be checked.</w:t>
      </w:r>
    </w:p>
    <w:p>
      <w:pPr>
        <w:pStyle w:val="ListBullet"/>
        <w:spacing w:after="60"/>
        <w:ind w:left="360"/>
      </w:pPr>
      <w:r>
        <w:rPr>
          <w:b/>
          <w:color w:val="334155"/>
        </w:rPr>
        <w:t xml:space="preserve">Weekly Plan Alignment: </w:t>
      </w:r>
      <w:r>
        <w:rPr>
          <w:color w:val="334155"/>
        </w:rPr>
        <w:t>Submissions must fulfill an active weekly plan created by the Admin. Unfulfilled planned weeks are selected from a dropdown.</w:t>
      </w:r>
    </w:p>
    <w:p>
      <w:pPr>
        <w:pStyle w:val="ListBullet"/>
        <w:spacing w:after="60"/>
        <w:ind w:left="360"/>
      </w:pPr>
      <w:r>
        <w:rPr>
          <w:b/>
          <w:color w:val="334155"/>
        </w:rPr>
        <w:t xml:space="preserve">Demographics &amp; Metrics: </w:t>
      </w:r>
      <w:r>
        <w:rPr>
          <w:color w:val="334155"/>
        </w:rPr>
        <w:t>Captures male and female participant numbers, target group (e.g., mothers, elders, students), expected output, visit status (Pending, In Progress, Completed, Deferred/Rescheduled), and optional remarks.</w:t>
      </w:r>
    </w:p>
    <w:p>
      <w:pPr>
        <w:pStyle w:val="ListBullet"/>
        <w:spacing w:after="60"/>
        <w:ind w:left="360"/>
      </w:pPr>
      <w:r>
        <w:rPr>
          <w:b/>
          <w:color w:val="334155"/>
        </w:rPr>
        <w:t xml:space="preserve">Photo Evidence &amp; Geolocation: </w:t>
      </w:r>
      <w:r>
        <w:rPr>
          <w:color w:val="334155"/>
        </w:rPr>
        <w:t>Members can capture photos directly via phone camera or upload existing images. The system automatically fetches browser GPS coordinates to verify location.</w:t>
      </w:r>
    </w:p>
    <w:p>
      <w:pPr>
        <w:pStyle w:val="ListBullet"/>
        <w:spacing w:after="60"/>
        <w:ind w:left="360"/>
      </w:pPr>
      <w:r>
        <w:rPr>
          <w:b/>
          <w:color w:val="334155"/>
        </w:rPr>
        <w:t xml:space="preserve">My Team Screen: </w:t>
      </w:r>
      <w:r>
        <w:rPr>
          <w:color w:val="334155"/>
        </w:rPr>
        <w:t>Displays assigned teammate contact information (Name, Email, Phone) and team details.</w:t>
      </w:r>
    </w:p>
    <w:p>
      <w:pPr>
        <w:pStyle w:val="ListBullet"/>
        <w:spacing w:after="60"/>
        <w:ind w:left="360"/>
      </w:pPr>
      <w:r>
        <w:rPr>
          <w:b/>
          <w:color w:val="334155"/>
        </w:rPr>
        <w:t xml:space="preserve">My Team's Activities Screen: </w:t>
      </w:r>
      <w:r>
        <w:rPr>
          <w:color w:val="334155"/>
        </w:rPr>
        <w:t>Lists past team submissions with real-time status indicators (Submitted, Verified, Flagged, Absent).</w:t>
      </w:r>
    </w:p>
    <w:p>
      <w:pPr>
        <w:keepNext/>
        <w:spacing w:before="240" w:after="80"/>
      </w:pPr>
      <w:r>
        <w:rPr>
          <w:rFonts w:ascii="Calibri" w:hAnsi="Calibri"/>
          <w:b/>
          <w:color w:val="059669"/>
          <w:sz w:val="28"/>
        </w:rPr>
        <w:t>3.2 District Coordinator Panel (DCMO View)</w:t>
      </w:r>
    </w:p>
    <w:p>
      <w:pPr>
        <w:spacing w:after="120"/>
      </w:pPr>
      <w:r>
        <w:rPr>
          <w:i w:val="0"/>
          <w:color w:val="334155"/>
        </w:rPr>
        <w:t>The District Coordinator Panel empowers District Coordinators and District Monitoring Officers (DCMO) to record specialized environmental activities and perform rigorous monitoring visits.</w:t>
      </w:r>
    </w:p>
    <w:p>
      <w:pPr>
        <w:keepNext/>
        <w:spacing w:before="160" w:after="60"/>
      </w:pPr>
      <w:r>
        <w:rPr>
          <w:rFonts w:ascii="Calibri" w:hAnsi="Calibri"/>
          <w:b/>
          <w:color w:val="1E3A8A"/>
          <w:sz w:val="24"/>
        </w:rPr>
        <w:t>Core Functionalities &amp; Displays:</w:t>
      </w:r>
    </w:p>
    <w:p>
      <w:pPr>
        <w:pStyle w:val="ListBullet"/>
        <w:spacing w:after="60"/>
        <w:ind w:left="360"/>
      </w:pPr>
      <w:r>
        <w:rPr>
          <w:b/>
          <w:color w:val="334155"/>
        </w:rPr>
        <w:t xml:space="preserve">Coordinator Activity Submission: </w:t>
      </w:r>
      <w:r>
        <w:rPr>
          <w:color w:val="334155"/>
        </w:rPr>
        <w:t>Allows coordinators to log activities for 'Environmental awareness &amp; HCWM' (Healthcare Waste Management) and 'SEA/SH' (Sexual Exploitation &amp; Abuse / Sexual Harassment), with an option to mark sessions as Refresher Trainings.</w:t>
      </w:r>
    </w:p>
    <w:p>
      <w:pPr>
        <w:pStyle w:val="ListBullet"/>
        <w:spacing w:after="60"/>
        <w:ind w:left="360"/>
      </w:pPr>
      <w:r>
        <w:rPr>
          <w:b/>
          <w:color w:val="334155"/>
        </w:rPr>
        <w:t xml:space="preserve">DCMO Monitoring Visit Checklist: </w:t>
      </w:r>
      <w:r>
        <w:rPr>
          <w:color w:val="334155"/>
        </w:rPr>
        <w:t>Coordinators fill out a comprehensive 10-section monitoring checklist when conducting supervisory site visits:</w:t>
      </w:r>
    </w:p>
    <w:p>
      <w:pPr>
        <w:pStyle w:val="ListBullet"/>
        <w:spacing w:after="60"/>
        <w:ind w:left="720"/>
      </w:pPr>
      <w:r>
        <w:rPr>
          <w:b/>
          <w:color w:val="334155"/>
        </w:rPr>
        <w:t xml:space="preserve">1. Header &amp; Plan Linkage: </w:t>
      </w:r>
      <w:r>
        <w:rPr>
          <w:color w:val="334155"/>
        </w:rPr>
        <w:t>Select assigned monitoring plan, week, facility, and UC/Village.</w:t>
      </w:r>
    </w:p>
    <w:p>
      <w:pPr>
        <w:pStyle w:val="ListBullet"/>
        <w:spacing w:after="60"/>
        <w:ind w:left="720"/>
      </w:pPr>
      <w:r>
        <w:rPr>
          <w:b/>
          <w:color w:val="334155"/>
        </w:rPr>
        <w:t xml:space="preserve">2. Preparation &amp; Logistics: </w:t>
      </w:r>
      <w:r>
        <w:rPr>
          <w:color w:val="334155"/>
        </w:rPr>
        <w:t>Evaluate session plan availability, venue safety, IEC material display, and equipment.</w:t>
      </w:r>
    </w:p>
    <w:p>
      <w:pPr>
        <w:pStyle w:val="ListBullet"/>
        <w:spacing w:after="60"/>
        <w:ind w:left="720"/>
      </w:pPr>
      <w:r>
        <w:rPr>
          <w:b/>
          <w:color w:val="334155"/>
        </w:rPr>
        <w:t xml:space="preserve">3. Session Delivery &amp; Quality: </w:t>
      </w:r>
      <w:r>
        <w:rPr>
          <w:color w:val="334155"/>
        </w:rPr>
        <w:t>Assess introductory clarity, key message delivery accuracy, participatory methods, and summary.</w:t>
      </w:r>
    </w:p>
    <w:p>
      <w:pPr>
        <w:pStyle w:val="ListBullet"/>
        <w:spacing w:after="60"/>
        <w:ind w:left="720"/>
      </w:pPr>
      <w:r>
        <w:rPr>
          <w:b/>
          <w:color w:val="334155"/>
        </w:rPr>
        <w:t xml:space="preserve">4. Attendance &amp; Inclusion: </w:t>
      </w:r>
      <w:r>
        <w:rPr>
          <w:color w:val="334155"/>
        </w:rPr>
        <w:t>Record register completion, total &amp; female attendance, &gt;=50% female participation check, and arrangements for women.</w:t>
      </w:r>
    </w:p>
    <w:p>
      <w:pPr>
        <w:pStyle w:val="ListBullet"/>
        <w:spacing w:after="60"/>
        <w:ind w:left="720"/>
      </w:pPr>
      <w:r>
        <w:rPr>
          <w:b/>
          <w:color w:val="334155"/>
        </w:rPr>
        <w:t xml:space="preserve">5. Safeguarding &amp; Conduct: </w:t>
      </w:r>
      <w:r>
        <w:rPr>
          <w:color w:val="334155"/>
        </w:rPr>
        <w:t>Verify code of conduct compliance, respectful behavior, non-political messaging, and photo consent.</w:t>
      </w:r>
    </w:p>
    <w:p>
      <w:pPr>
        <w:pStyle w:val="ListBullet"/>
        <w:spacing w:after="60"/>
        <w:ind w:left="720"/>
      </w:pPr>
      <w:r>
        <w:rPr>
          <w:b/>
          <w:color w:val="334155"/>
        </w:rPr>
        <w:t xml:space="preserve">6. Activity-Specific Checklist: </w:t>
      </w:r>
      <w:r>
        <w:rPr>
          <w:color w:val="334155"/>
        </w:rPr>
        <w:t>Activity-specific criteria tailored to the observed activity type.</w:t>
      </w:r>
    </w:p>
    <w:p>
      <w:pPr>
        <w:pStyle w:val="ListBullet"/>
        <w:spacing w:after="60"/>
        <w:ind w:left="720"/>
      </w:pPr>
      <w:r>
        <w:rPr>
          <w:b/>
          <w:color w:val="334155"/>
        </w:rPr>
        <w:t xml:space="preserve">7. Grievance Redress (GRM) Check: </w:t>
      </w:r>
      <w:r>
        <w:rPr>
          <w:color w:val="334155"/>
        </w:rPr>
        <w:t>Inspect GRM complaint box presence, community awareness, and document active complaints.</w:t>
      </w:r>
    </w:p>
    <w:p>
      <w:pPr>
        <w:pStyle w:val="ListBullet"/>
        <w:spacing w:after="60"/>
        <w:ind w:left="720"/>
      </w:pPr>
      <w:r>
        <w:rPr>
          <w:b/>
          <w:color w:val="334155"/>
        </w:rPr>
        <w:t xml:space="preserve">8. Evidence &amp; Photos: </w:t>
      </w:r>
      <w:r>
        <w:rPr>
          <w:color w:val="334155"/>
        </w:rPr>
        <w:t>Checklist of collected proof (attendance lists, handouts) + compulsory upload of minimum 3 evidence photos.</w:t>
      </w:r>
    </w:p>
    <w:p>
      <w:pPr>
        <w:pStyle w:val="ListBullet"/>
        <w:spacing w:after="60"/>
        <w:ind w:left="720"/>
      </w:pPr>
      <w:r>
        <w:rPr>
          <w:b/>
          <w:color w:val="334155"/>
        </w:rPr>
        <w:t xml:space="preserve">9. Overall Rating &amp; Action Plan: </w:t>
      </w:r>
      <w:r>
        <w:rPr>
          <w:color w:val="334155"/>
        </w:rPr>
        <w:t>Select overall rating (Excellent, Good, Satisfactory, Needs Improvement, Poor), record key strengths and gaps, and define corrective action plans with follow-up dates.</w:t>
      </w:r>
    </w:p>
    <w:p>
      <w:pPr>
        <w:pStyle w:val="ListBullet"/>
        <w:spacing w:after="60"/>
        <w:ind w:left="720"/>
      </w:pPr>
      <w:r>
        <w:rPr>
          <w:b/>
          <w:color w:val="334155"/>
        </w:rPr>
        <w:t xml:space="preserve">10. Certification &amp; Sign-off: </w:t>
      </w:r>
      <w:r>
        <w:rPr>
          <w:color w:val="334155"/>
        </w:rPr>
        <w:t>Official sign-off with DCMO Name and Date.</w:t>
      </w:r>
    </w:p>
    <w:p>
      <w:pPr>
        <w:keepNext/>
        <w:spacing w:before="240" w:after="80"/>
      </w:pPr>
      <w:r>
        <w:rPr>
          <w:rFonts w:ascii="Calibri" w:hAnsi="Calibri"/>
          <w:b/>
          <w:color w:val="059669"/>
          <w:sz w:val="28"/>
        </w:rPr>
        <w:t>3.3 GRM Focal Person Panel</w:t>
      </w:r>
    </w:p>
    <w:p>
      <w:pPr>
        <w:spacing w:after="120"/>
      </w:pPr>
      <w:r>
        <w:rPr>
          <w:i w:val="0"/>
          <w:color w:val="334155"/>
        </w:rPr>
        <w:t>Dedicated to Grievance Redress Mechanism (GRM) operations, this panel focuses on strengthening grievance channels and community feedback loops.</w:t>
      </w:r>
    </w:p>
    <w:p>
      <w:pPr>
        <w:keepNext/>
        <w:spacing w:before="160" w:after="60"/>
      </w:pPr>
      <w:r>
        <w:rPr>
          <w:rFonts w:ascii="Calibri" w:hAnsi="Calibri"/>
          <w:b/>
          <w:color w:val="1E3A8A"/>
          <w:sz w:val="24"/>
        </w:rPr>
        <w:t>Core Functionalities &amp; Displays:</w:t>
      </w:r>
    </w:p>
    <w:p>
      <w:pPr>
        <w:pStyle w:val="ListBullet"/>
        <w:spacing w:after="60"/>
        <w:ind w:left="360"/>
      </w:pPr>
      <w:r>
        <w:rPr>
          <w:b/>
          <w:color w:val="334155"/>
        </w:rPr>
        <w:t xml:space="preserve">GRM Activity Submission: </w:t>
      </w:r>
      <w:r>
        <w:rPr>
          <w:color w:val="334155"/>
        </w:rPr>
        <w:t>Dedicated data entry for 'GRM capacity building of PCMC &amp; HMC' (Primary Health Care Management Committee &amp; Health Management Committee).</w:t>
      </w:r>
    </w:p>
    <w:p>
      <w:pPr>
        <w:pStyle w:val="ListBullet"/>
        <w:spacing w:after="60"/>
        <w:ind w:left="360"/>
      </w:pPr>
      <w:r>
        <w:rPr>
          <w:b/>
          <w:color w:val="334155"/>
        </w:rPr>
        <w:t xml:space="preserve">Submission Details: </w:t>
      </w:r>
      <w:r>
        <w:rPr>
          <w:color w:val="334155"/>
        </w:rPr>
        <w:t>Supports refresher training tagging, facility selection, catchment area documentation, male/female attendance counts, target group capture, and mandatory photo evidence with GPS.</w:t>
      </w:r>
    </w:p>
    <w:p>
      <w:pPr>
        <w:pStyle w:val="ListBullet"/>
        <w:spacing w:after="60"/>
        <w:ind w:left="360"/>
      </w:pPr>
      <w:r>
        <w:rPr>
          <w:b/>
          <w:color w:val="334155"/>
        </w:rPr>
        <w:t xml:space="preserve">GRM Activity Tracker: </w:t>
      </w:r>
      <w:r>
        <w:rPr>
          <w:color w:val="334155"/>
        </w:rPr>
        <w:t>A clean historical table displaying all GRM activities submitted across the district with verification status.</w:t>
      </w:r>
    </w:p>
    <w:p>
      <w:pPr>
        <w:keepNext/>
        <w:spacing w:before="240" w:after="80"/>
      </w:pPr>
      <w:r>
        <w:rPr>
          <w:rFonts w:ascii="Calibri" w:hAnsi="Calibri"/>
          <w:b/>
          <w:color w:val="059669"/>
          <w:sz w:val="28"/>
        </w:rPr>
        <w:t>3.4 Team Lead / Deputy Team Lead (TL / DTL) Reviewer Panel</w:t>
      </w:r>
    </w:p>
    <w:p>
      <w:pPr>
        <w:spacing w:after="120"/>
      </w:pPr>
      <w:r>
        <w:rPr>
          <w:i w:val="0"/>
          <w:color w:val="334155"/>
        </w:rPr>
        <w:t>The Reviewer Panel acts as the quality assurance gateway for monitoring visit checklists submitted by District Coordinators.</w:t>
      </w:r>
    </w:p>
    <w:p>
      <w:pPr>
        <w:keepNext/>
        <w:spacing w:before="160" w:after="60"/>
      </w:pPr>
      <w:r>
        <w:rPr>
          <w:rFonts w:ascii="Calibri" w:hAnsi="Calibri"/>
          <w:b/>
          <w:color w:val="1E3A8A"/>
          <w:sz w:val="24"/>
        </w:rPr>
        <w:t>Core Functionalities &amp; Displays:</w:t>
      </w:r>
    </w:p>
    <w:p>
      <w:pPr>
        <w:pStyle w:val="ListBullet"/>
        <w:spacing w:after="60"/>
        <w:ind w:left="360"/>
      </w:pPr>
      <w:r>
        <w:rPr>
          <w:b/>
          <w:color w:val="334155"/>
        </w:rPr>
        <w:t xml:space="preserve">Review Management Dashboard: </w:t>
      </w:r>
      <w:r>
        <w:rPr>
          <w:color w:val="334155"/>
        </w:rPr>
        <w:t>Organized into three tabs: 'Pending My Review', 'My Reviewed Records', and 'All Records'.</w:t>
      </w:r>
    </w:p>
    <w:p>
      <w:pPr>
        <w:pStyle w:val="ListBullet"/>
        <w:spacing w:after="60"/>
        <w:ind w:left="360"/>
      </w:pPr>
      <w:r>
        <w:rPr>
          <w:b/>
          <w:color w:val="334155"/>
        </w:rPr>
        <w:t xml:space="preserve">Inspection Table: </w:t>
      </w:r>
      <w:r>
        <w:rPr>
          <w:color w:val="334155"/>
        </w:rPr>
        <w:t>Displays Date, District, Facility, UC/Village, District Coordinator, Target Mobilizer, Score Percentage (color-coded: Green &gt;=80%, Orange 60-79%, Red &lt;60%), and current Review Status.</w:t>
      </w:r>
    </w:p>
    <w:p>
      <w:pPr>
        <w:pStyle w:val="ListBullet"/>
        <w:spacing w:after="60"/>
        <w:ind w:left="360"/>
      </w:pPr>
      <w:r>
        <w:rPr>
          <w:b/>
          <w:color w:val="334155"/>
        </w:rPr>
        <w:t xml:space="preserve">Detailed Checklist Preview: </w:t>
      </w:r>
      <w:r>
        <w:rPr>
          <w:color w:val="334155"/>
        </w:rPr>
        <w:t>Opens a full modal showing all 10 checklist sections, safeguarding scores, participant numbers, and attached evidence photos.</w:t>
      </w:r>
    </w:p>
    <w:p>
      <w:pPr>
        <w:pStyle w:val="ListBullet"/>
        <w:spacing w:after="60"/>
        <w:ind w:left="360"/>
      </w:pPr>
      <w:r>
        <w:rPr>
          <w:b/>
          <w:color w:val="334155"/>
        </w:rPr>
        <w:t xml:space="preserve">Review Sign-Off Modal: </w:t>
      </w:r>
      <w:r>
        <w:rPr>
          <w:color w:val="334155"/>
        </w:rPr>
        <w:t>Reviewers submit formal evaluations with Reviewer Name, Date, Acceptance Status (Accepted/Complete, Needs Revision, N/A), and detailed Reviewer Remarks.</w:t>
      </w:r>
    </w:p>
    <w:p>
      <w:pPr>
        <w:keepNext/>
        <w:spacing w:before="240" w:after="80"/>
      </w:pPr>
      <w:r>
        <w:rPr>
          <w:rFonts w:ascii="Calibri" w:hAnsi="Calibri"/>
          <w:b/>
          <w:color w:val="059669"/>
          <w:sz w:val="28"/>
        </w:rPr>
        <w:t>3.5 Admin Panel (Super Admin Control Center)</w:t>
      </w:r>
    </w:p>
    <w:p>
      <w:pPr>
        <w:spacing w:after="120"/>
      </w:pPr>
      <w:r>
        <w:rPr>
          <w:i w:val="0"/>
          <w:color w:val="334155"/>
        </w:rPr>
        <w:t>The Admin Panel is the administrative control center accessible to Super Admins, providing complete governance over users, structure, targets, and system integrity.</w:t>
      </w:r>
    </w:p>
    <w:p>
      <w:pPr>
        <w:keepNext/>
        <w:spacing w:before="160" w:after="60"/>
      </w:pPr>
      <w:r>
        <w:rPr>
          <w:rFonts w:ascii="Calibri" w:hAnsi="Calibri"/>
          <w:b/>
          <w:color w:val="1E3A8A"/>
          <w:sz w:val="24"/>
        </w:rPr>
        <w:t>Core Management Sub-Modules (Tabs):</w:t>
      </w:r>
    </w:p>
    <w:p>
      <w:pPr>
        <w:pStyle w:val="ListBullet"/>
        <w:spacing w:after="60"/>
        <w:ind w:left="360"/>
      </w:pPr>
      <w:r>
        <w:rPr>
          <w:b/>
          <w:color w:val="334155"/>
        </w:rPr>
        <w:t xml:space="preserve">1. Social Mobilizers: </w:t>
      </w:r>
      <w:r>
        <w:rPr>
          <w:color w:val="334155"/>
        </w:rPr>
        <w:t>Create, edit, reset passwords, or delete Social Mobilizers.</w:t>
      </w:r>
    </w:p>
    <w:p>
      <w:pPr>
        <w:pStyle w:val="ListBullet"/>
        <w:spacing w:after="60"/>
        <w:ind w:left="360"/>
      </w:pPr>
      <w:r>
        <w:rPr>
          <w:b/>
          <w:color w:val="334155"/>
        </w:rPr>
        <w:t xml:space="preserve">2. Teams: </w:t>
      </w:r>
      <w:r>
        <w:rPr>
          <w:color w:val="334155"/>
        </w:rPr>
        <w:t>Pair mobilizers into 2-person teams and assign them to districts.</w:t>
      </w:r>
    </w:p>
    <w:p>
      <w:pPr>
        <w:pStyle w:val="ListBullet"/>
        <w:spacing w:after="60"/>
        <w:ind w:left="360"/>
      </w:pPr>
      <w:r>
        <w:rPr>
          <w:b/>
          <w:color w:val="334155"/>
        </w:rPr>
        <w:t xml:space="preserve">3. Districts: </w:t>
      </w:r>
      <w:r>
        <w:rPr>
          <w:color w:val="334155"/>
        </w:rPr>
        <w:t>Define target districts (Nowshera, Peshawar, Charsadda, Mardan) and set GRM Focal Person passwords.</w:t>
      </w:r>
    </w:p>
    <w:p>
      <w:pPr>
        <w:pStyle w:val="ListBullet"/>
        <w:spacing w:after="60"/>
        <w:ind w:left="360"/>
      </w:pPr>
      <w:r>
        <w:rPr>
          <w:b/>
          <w:color w:val="334155"/>
        </w:rPr>
        <w:t xml:space="preserve">4. District Coordinators: </w:t>
      </w:r>
      <w:r>
        <w:rPr>
          <w:color w:val="334155"/>
        </w:rPr>
        <w:t>Create and manage District Coordinator accounts per district with password controls.</w:t>
      </w:r>
    </w:p>
    <w:p>
      <w:pPr>
        <w:pStyle w:val="ListBullet"/>
        <w:spacing w:after="60"/>
        <w:ind w:left="360"/>
      </w:pPr>
      <w:r>
        <w:rPr>
          <w:b/>
          <w:color w:val="334155"/>
        </w:rPr>
        <w:t xml:space="preserve">5. Executive Officials: </w:t>
      </w:r>
      <w:r>
        <w:rPr>
          <w:color w:val="334155"/>
        </w:rPr>
        <w:t>Create and activate/deactivate Executive Official accounts.</w:t>
      </w:r>
    </w:p>
    <w:p>
      <w:pPr>
        <w:pStyle w:val="ListBullet"/>
        <w:spacing w:after="60"/>
        <w:ind w:left="360"/>
      </w:pPr>
      <w:r>
        <w:rPr>
          <w:b/>
          <w:color w:val="334155"/>
        </w:rPr>
        <w:t xml:space="preserve">6. Mobilizer Plans: </w:t>
      </w:r>
      <w:r>
        <w:rPr>
          <w:color w:val="334155"/>
        </w:rPr>
        <w:t>Assign monthly target counts and weekly activity schedules for Mobilizer Teams.</w:t>
      </w:r>
    </w:p>
    <w:p>
      <w:pPr>
        <w:pStyle w:val="ListBullet"/>
        <w:spacing w:after="60"/>
        <w:ind w:left="360"/>
      </w:pPr>
      <w:r>
        <w:rPr>
          <w:b/>
          <w:color w:val="334155"/>
        </w:rPr>
        <w:t xml:space="preserve">7. Coordinator Plans: </w:t>
      </w:r>
      <w:r>
        <w:rPr>
          <w:color w:val="334155"/>
        </w:rPr>
        <w:t>Assign monthly target activity schedules for District Coordinators.</w:t>
      </w:r>
    </w:p>
    <w:p>
      <w:pPr>
        <w:pStyle w:val="ListBullet"/>
        <w:spacing w:after="60"/>
        <w:ind w:left="360"/>
      </w:pPr>
      <w:r>
        <w:rPr>
          <w:b/>
          <w:color w:val="334155"/>
        </w:rPr>
        <w:t xml:space="preserve">8. Monitoring Visit Plans: </w:t>
      </w:r>
      <w:r>
        <w:rPr>
          <w:color w:val="334155"/>
        </w:rPr>
        <w:t>Assign monthly monitoring visit plans pairing target mobilizers with DCMO visit schedules.</w:t>
      </w:r>
    </w:p>
    <w:p>
      <w:pPr>
        <w:pStyle w:val="ListBullet"/>
        <w:spacing w:after="60"/>
        <w:ind w:left="360"/>
      </w:pPr>
      <w:r>
        <w:rPr>
          <w:b/>
          <w:color w:val="334155"/>
        </w:rPr>
        <w:t xml:space="preserve">9. GRM Plans: </w:t>
      </w:r>
      <w:r>
        <w:rPr>
          <w:color w:val="334155"/>
        </w:rPr>
        <w:t>Assign monthly capacity building target schedules for GRM Focal Persons.</w:t>
      </w:r>
    </w:p>
    <w:p>
      <w:pPr>
        <w:pStyle w:val="ListBullet"/>
        <w:spacing w:after="60"/>
        <w:ind w:left="360"/>
      </w:pPr>
      <w:r>
        <w:rPr>
          <w:b/>
          <w:color w:val="334155"/>
        </w:rPr>
        <w:t xml:space="preserve">10. Overview: </w:t>
      </w:r>
      <w:r>
        <w:rPr>
          <w:color w:val="334155"/>
        </w:rPr>
        <w:t>High-level system statistics and activity metrics across all districts.</w:t>
      </w:r>
    </w:p>
    <w:p>
      <w:pPr>
        <w:pStyle w:val="ListBullet"/>
        <w:spacing w:after="60"/>
        <w:ind w:left="360"/>
      </w:pPr>
      <w:r>
        <w:rPr>
          <w:b/>
          <w:color w:val="334155"/>
        </w:rPr>
        <w:t xml:space="preserve">11. Audit Log: </w:t>
      </w:r>
      <w:r>
        <w:rPr>
          <w:color w:val="334155"/>
        </w:rPr>
        <w:t>Immutable record of system actions, password changes, account modifications, and status overrides.</w:t>
      </w:r>
    </w:p>
    <w:p>
      <w:pPr>
        <w:keepNext/>
        <w:spacing w:before="240" w:after="80"/>
      </w:pPr>
      <w:r>
        <w:rPr>
          <w:rFonts w:ascii="Calibri" w:hAnsi="Calibri"/>
          <w:b/>
          <w:color w:val="059669"/>
          <w:sz w:val="28"/>
        </w:rPr>
        <w:t>3.6 Executive Dashboard (Leadership Overview)</w:t>
      </w:r>
    </w:p>
    <w:p>
      <w:pPr>
        <w:spacing w:after="120"/>
      </w:pPr>
      <w:r>
        <w:rPr>
          <w:i w:val="0"/>
          <w:color w:val="334155"/>
        </w:rPr>
        <w:t>The Executive Dashboard offers leadership and executive officials a clean, aggregated, non-technical visualization of program performance across all districts.</w:t>
      </w:r>
    </w:p>
    <w:p>
      <w:pPr>
        <w:keepNext/>
        <w:spacing w:before="160" w:after="60"/>
      </w:pPr>
      <w:r>
        <w:rPr>
          <w:rFonts w:ascii="Calibri" w:hAnsi="Calibri"/>
          <w:b/>
          <w:color w:val="1E3A8A"/>
          <w:sz w:val="24"/>
        </w:rPr>
        <w:t>Key Displays &amp; Visual Components:</w:t>
      </w:r>
    </w:p>
    <w:p>
      <w:pPr>
        <w:pStyle w:val="ListBullet"/>
        <w:spacing w:after="60"/>
        <w:ind w:left="360"/>
      </w:pPr>
      <w:r>
        <w:rPr>
          <w:b/>
          <w:color w:val="334155"/>
        </w:rPr>
        <w:t xml:space="preserve">1. Executive KPI Summary Cards: </w:t>
      </w:r>
      <w:r>
        <w:rPr>
          <w:color w:val="334155"/>
        </w:rPr>
        <w:t>Highlights Total Filtered Activities, Verified Share %, Combined Verified Rate %, Total Participants Reached (Male vs Female), Active Districts, and Total Flagged Submissions.</w:t>
      </w:r>
    </w:p>
    <w:p>
      <w:pPr>
        <w:pStyle w:val="ListBullet"/>
        <w:spacing w:after="60"/>
        <w:ind w:left="360"/>
      </w:pPr>
      <w:r>
        <w:rPr>
          <w:b/>
          <w:color w:val="334155"/>
        </w:rPr>
        <w:t xml:space="preserve">2. Participation Demographics Chart: </w:t>
      </w:r>
      <w:r>
        <w:rPr>
          <w:color w:val="334155"/>
        </w:rPr>
        <w:t>Bar chart displaying male vs. female attendance breakdown across all activity types.</w:t>
      </w:r>
    </w:p>
    <w:p>
      <w:pPr>
        <w:pStyle w:val="ListBullet"/>
        <w:spacing w:after="60"/>
        <w:ind w:left="360"/>
      </w:pPr>
      <w:r>
        <w:rPr>
          <w:b/>
          <w:color w:val="334155"/>
        </w:rPr>
        <w:t xml:space="preserve">3. Visit Progress Component: </w:t>
      </w:r>
      <w:r>
        <w:rPr>
          <w:color w:val="334155"/>
        </w:rPr>
        <w:t>Progress bars showing completion breakdown (Completed, Pending, In Progress, Deferred).</w:t>
      </w:r>
    </w:p>
    <w:p>
      <w:pPr>
        <w:pStyle w:val="ListBullet"/>
        <w:spacing w:after="60"/>
        <w:ind w:left="360"/>
      </w:pPr>
      <w:r>
        <w:rPr>
          <w:b/>
          <w:color w:val="334155"/>
        </w:rPr>
        <w:t xml:space="preserve">4. District Performance Ranking: </w:t>
      </w:r>
      <w:r>
        <w:rPr>
          <w:color w:val="334155"/>
        </w:rPr>
        <w:t>Side-by-side bar chart and table ranking districts by volume, verified count, flagged count, and verification %.</w:t>
      </w:r>
    </w:p>
    <w:p>
      <w:pPr>
        <w:pStyle w:val="ListBullet"/>
        <w:spacing w:after="60"/>
        <w:ind w:left="360"/>
      </w:pPr>
      <w:r>
        <w:rPr>
          <w:b/>
          <w:color w:val="334155"/>
        </w:rPr>
        <w:t xml:space="preserve">5. Activity Type Mix Chart: </w:t>
      </w:r>
      <w:r>
        <w:rPr>
          <w:color w:val="334155"/>
        </w:rPr>
        <w:t>Pie chart illustrating the percentage distribution of reported activity types.</w:t>
      </w:r>
    </w:p>
    <w:p>
      <w:pPr>
        <w:pStyle w:val="ListBullet"/>
        <w:spacing w:after="60"/>
        <w:ind w:left="360"/>
      </w:pPr>
      <w:r>
        <w:rPr>
          <w:b/>
          <w:color w:val="334155"/>
        </w:rPr>
        <w:t xml:space="preserve">6. Weekly Delivery Trend: </w:t>
      </w:r>
      <w:r>
        <w:rPr>
          <w:color w:val="334155"/>
        </w:rPr>
        <w:t>Line chart showing activity volume trajectory across planned weeks.</w:t>
      </w:r>
    </w:p>
    <w:p>
      <w:pPr>
        <w:pStyle w:val="ListBullet"/>
        <w:spacing w:after="60"/>
        <w:ind w:left="360"/>
      </w:pPr>
      <w:r>
        <w:rPr>
          <w:b/>
          <w:color w:val="334155"/>
        </w:rPr>
        <w:t xml:space="preserve">7. Team Leaderboard: </w:t>
      </w:r>
      <w:r>
        <w:rPr>
          <w:color w:val="334155"/>
        </w:rPr>
        <w:t>Leaderboard ranking Mobilizer teams by submission volume and flag rate.</w:t>
      </w:r>
    </w:p>
    <w:p>
      <w:pPr>
        <w:pStyle w:val="ListBullet"/>
        <w:spacing w:after="60"/>
        <w:ind w:left="360"/>
      </w:pPr>
      <w:r>
        <w:rPr>
          <w:b/>
          <w:color w:val="334155"/>
        </w:rPr>
        <w:t xml:space="preserve">8. Evidence Rejection Breakdown: </w:t>
      </w:r>
      <w:r>
        <w:rPr>
          <w:color w:val="334155"/>
        </w:rPr>
        <w:t>Categorized breakdown of why evidence photos were flagged (Duplicate photo, Location unverified, Capture date mismatch, Missing photo).</w:t>
      </w:r>
    </w:p>
    <w:p>
      <w:pPr>
        <w:pStyle w:val="ListBullet"/>
        <w:spacing w:after="60"/>
        <w:ind w:left="360"/>
      </w:pPr>
      <w:r>
        <w:rPr>
          <w:b/>
          <w:color w:val="334155"/>
        </w:rPr>
        <w:t xml:space="preserve">9. Needs Attention Table: </w:t>
      </w:r>
      <w:r>
        <w:rPr>
          <w:color w:val="334155"/>
        </w:rPr>
        <w:t>Quick inspection table listing recent flagged submissions with direct modal view.</w:t>
      </w:r>
    </w:p>
    <w:p>
      <w:pPr>
        <w:pStyle w:val="ListBullet"/>
        <w:spacing w:after="60"/>
        <w:ind w:left="360"/>
      </w:pPr>
      <w:r>
        <w:rPr>
          <w:b/>
          <w:color w:val="334155"/>
        </w:rPr>
        <w:t xml:space="preserve">10. Global Interactive Filters: </w:t>
      </w:r>
      <w:r>
        <w:rPr>
          <w:color w:val="334155"/>
        </w:rPr>
        <w:t>Filter all widgets dynamically by District, Team, Activity Type, Verification Status, Visit Status, and Date Range.</w:t>
      </w:r>
    </w:p>
    <w:p>
      <w:pPr>
        <w:pStyle w:val="ListBullet"/>
        <w:spacing w:after="60"/>
        <w:ind w:left="360"/>
      </w:pPr>
      <w:r>
        <w:rPr>
          <w:b/>
          <w:color w:val="334155"/>
        </w:rPr>
        <w:t xml:space="preserve">11. One-Click Excel Data Export: </w:t>
      </w:r>
      <w:r>
        <w:rPr>
          <w:color w:val="334155"/>
        </w:rPr>
        <w:t>Instant download of full Excel reports for Field Tracker, DCMO/FMO Tracker, and GRM Tracker.</w:t>
      </w:r>
    </w:p>
    <w:p>
      <w:pPr>
        <w:keepNext/>
        <w:spacing w:before="320" w:after="120"/>
      </w:pPr>
      <w:r>
        <w:rPr>
          <w:rFonts w:ascii="Calibri" w:hAnsi="Calibri"/>
          <w:b/>
          <w:color w:val="1E3A8A"/>
          <w:sz w:val="36"/>
        </w:rPr>
        <w:t>4. End-to-End Data Submission &amp; Verification Workflow</w:t>
      </w:r>
    </w:p>
    <w:p>
      <w:pPr>
        <w:spacing w:after="120"/>
      </w:pPr>
      <w:r>
        <w:rPr>
          <w:i w:val="0"/>
          <w:color w:val="334155"/>
        </w:rPr>
        <w:t>To ensure data trust and prevent fraudulent or duplicate reporting, KPHCIP field community engagement enforces a strict submission and verification pipeline:</w:t>
      </w:r>
    </w:p>
    <w:p>
      <w:pPr>
        <w:pStyle w:val="ListBullet"/>
        <w:spacing w:after="60"/>
        <w:ind w:left="360"/>
      </w:pPr>
      <w:r>
        <w:rPr>
          <w:b/>
          <w:color w:val="334155"/>
        </w:rPr>
        <w:t xml:space="preserve">Step 1: Activity Execution &amp; Data Capture: </w:t>
      </w:r>
      <w:r>
        <w:rPr>
          <w:color w:val="334155"/>
        </w:rPr>
        <w:t>Field employees select their assigned weekly plan and input session data (location, attendees, demographics, remarks).</w:t>
      </w:r>
    </w:p>
    <w:p>
      <w:pPr>
        <w:pStyle w:val="ListBullet"/>
        <w:spacing w:after="60"/>
        <w:ind w:left="360"/>
      </w:pPr>
      <w:r>
        <w:rPr>
          <w:b/>
          <w:color w:val="334155"/>
        </w:rPr>
        <w:t xml:space="preserve">Step 2: Evidence Attachment &amp; GPS Capture: </w:t>
      </w:r>
      <w:r>
        <w:rPr>
          <w:color w:val="334155"/>
        </w:rPr>
        <w:t>Field staff attach evidence photos. The browser automatically requests GPS coordinates, attaching server-authoritative timestamps.</w:t>
      </w:r>
    </w:p>
    <w:p>
      <w:pPr>
        <w:pStyle w:val="ListBullet"/>
        <w:spacing w:after="60"/>
        <w:ind w:left="360"/>
      </w:pPr>
      <w:r>
        <w:rPr>
          <w:b/>
          <w:color w:val="334155"/>
        </w:rPr>
        <w:t xml:space="preserve">Step 3: Automated Server Checks: </w:t>
      </w:r>
      <w:r>
        <w:rPr>
          <w:color w:val="334155"/>
        </w:rPr>
        <w:t>The system analyzes uploaded photo checksums to prevent image reuse and validates timestamp integrity.</w:t>
      </w:r>
    </w:p>
    <w:p>
      <w:pPr>
        <w:pStyle w:val="ListBullet"/>
        <w:spacing w:after="60"/>
        <w:ind w:left="360"/>
      </w:pPr>
      <w:r>
        <w:rPr>
          <w:b/>
          <w:color w:val="334155"/>
        </w:rPr>
        <w:t xml:space="preserve">Step 4: Verification &amp; Moderation: </w:t>
      </w:r>
      <w:r>
        <w:rPr>
          <w:color w:val="334155"/>
        </w:rPr>
        <w:t>Admins and Super Admins review submitted records. Submissions are marked as Verified or Flagged (with explicit rejection reasons).</w:t>
      </w:r>
    </w:p>
    <w:p>
      <w:pPr>
        <w:pStyle w:val="ListBullet"/>
        <w:spacing w:after="60"/>
        <w:ind w:left="360"/>
      </w:pPr>
      <w:r>
        <w:rPr>
          <w:b/>
          <w:color w:val="334155"/>
        </w:rPr>
        <w:t xml:space="preserve">Step 5: Quality Assurance Review: </w:t>
      </w:r>
      <w:r>
        <w:rPr>
          <w:color w:val="334155"/>
        </w:rPr>
        <w:t>TL/DTL Reviewers evaluate DCMO Monitoring Visit Checklists, inspect photo evidence, verify safeguarding compliance, and issue official approvals.</w:t>
      </w:r>
    </w:p>
    <w:p>
      <w:pPr>
        <w:pStyle w:val="ListBullet"/>
        <w:spacing w:after="60"/>
        <w:ind w:left="360"/>
      </w:pPr>
      <w:r>
        <w:rPr>
          <w:b/>
          <w:color w:val="334155"/>
        </w:rPr>
        <w:t xml:space="preserve">Step 6: Real-Time Analytics &amp; Reporting: </w:t>
      </w:r>
      <w:r>
        <w:rPr>
          <w:color w:val="334155"/>
        </w:rPr>
        <w:t>Verified records immediately update Executive KPI cards, district leaderboards, and Excel export trackers.</w:t>
      </w:r>
    </w:p>
    <w:p>
      <w:pPr>
        <w:keepNext/>
        <w:spacing w:before="320" w:after="120"/>
      </w:pPr>
      <w:r>
        <w:rPr>
          <w:rFonts w:ascii="Calibri" w:hAnsi="Calibri"/>
          <w:b/>
          <w:color w:val="1E3A8A"/>
          <w:sz w:val="36"/>
        </w:rPr>
        <w:t>5. Conclusion</w:t>
      </w:r>
    </w:p>
    <w:p>
      <w:pPr>
        <w:spacing w:after="120"/>
      </w:pPr>
      <w:r>
        <w:rPr>
          <w:i w:val="0"/>
          <w:color w:val="334155"/>
        </w:rPr>
        <w:t>KPHCIP field community engagement provides a complete digital framework for field activity tracking, quality assurance, and executive oversight. By enforcing mandatory photo/GPS evidence, weekly plan alignment, structured monitoring checklists, and multi-tier review workflows, the application ensures total operational transparency across all participating districts.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