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3291840" cy="1084595"/>
            <wp:docPr id="1" name="Picture 1"/>
            <wp:cNvGraphicFramePr>
              <a:graphicFrameLocks noChangeAspect="1"/>
            </wp:cNvGraphicFramePr>
            <a:graphic>
              <a:graphicData uri="http://schemas.openxmlformats.org/drawingml/2006/picture">
                <pic:pic>
                  <pic:nvPicPr>
                    <pic:cNvPr id="0" name="vs-logo.png"/>
                    <pic:cNvPicPr/>
                  </pic:nvPicPr>
                  <pic:blipFill>
                    <a:blip r:embed="rId11"/>
                    <a:stretch>
                      <a:fillRect/>
                    </a:stretch>
                  </pic:blipFill>
                  <pic:spPr>
                    <a:xfrm>
                      <a:off x="0" y="0"/>
                      <a:ext cx="3291840" cy="1084595"/>
                    </a:xfrm>
                    <a:prstGeom prst="rect"/>
                  </pic:spPr>
                </pic:pic>
              </a:graphicData>
            </a:graphic>
          </wp:inline>
        </w:drawing>
      </w:r>
    </w:p>
    <w:p/>
    <w:p/>
    <w:p>
      <w:pPr>
        <w:spacing w:after="80"/>
        <w:jc w:val="center"/>
      </w:pPr>
      <w:r>
        <w:rPr>
          <w:rFonts w:ascii="Calibri" w:hAnsi="Calibri" w:eastAsia="Calibri"/>
          <w:b/>
          <w:i w:val="0"/>
          <w:color w:val="3F3F3F"/>
          <w:sz w:val="52"/>
        </w:rPr>
        <w:t>Online Sports Betting in the State of Wisconsin</w:t>
      </w:r>
    </w:p>
    <w:p>
      <w:pPr>
        <w:spacing w:after="40"/>
        <w:jc w:val="center"/>
      </w:pPr>
      <w:r>
        <w:rPr>
          <w:rFonts w:ascii="Calibri" w:hAnsi="Calibri" w:eastAsia="Calibri"/>
          <w:b/>
          <w:i w:val="0"/>
          <w:color w:val="C42127"/>
          <w:sz w:val="36"/>
        </w:rPr>
        <w:t>Data Analysis</w:t>
      </w:r>
    </w:p>
    <w:p>
      <w:pPr>
        <w:jc w:val="center"/>
      </w:pPr>
      <w:r>
        <w:rPr>
          <w:rFonts w:ascii="Calibri" w:hAnsi="Calibri" w:eastAsia="Calibri"/>
          <w:b w:val="0"/>
          <w:i w:val="0"/>
          <w:color w:val="6E6E6E"/>
          <w:sz w:val="22"/>
        </w:rPr>
        <w:t>—  ❖  —</w:t>
      </w:r>
    </w:p>
    <w:p/>
    <w:p>
      <w:pPr>
        <w:spacing w:after="40"/>
        <w:jc w:val="center"/>
      </w:pPr>
      <w:r>
        <w:rPr>
          <w:rFonts w:ascii="Calibri" w:hAnsi="Calibri" w:eastAsia="Calibri"/>
          <w:b w:val="0"/>
          <w:i/>
          <w:color w:val="6E6E6E"/>
          <w:sz w:val="24"/>
        </w:rPr>
        <w:t>Prepared for</w:t>
      </w:r>
    </w:p>
    <w:p>
      <w:pPr>
        <w:jc w:val="center"/>
      </w:pPr>
      <w:r>
        <w:rPr>
          <w:rFonts w:ascii="Calibri" w:hAnsi="Calibri" w:eastAsia="Calibri"/>
          <w:b/>
          <w:i w:val="0"/>
          <w:color w:val="3F3F3F"/>
          <w:sz w:val="32"/>
        </w:rPr>
        <w:t>Wisconsin Tribal Nations</w:t>
        <w:br/>
        <w:t>Advisory Working Group</w:t>
      </w:r>
    </w:p>
    <w:p/>
    <w:p>
      <w:pPr>
        <w:jc w:val="center"/>
      </w:pPr>
      <w:r>
        <w:rPr>
          <w:rFonts w:ascii="Calibri" w:hAnsi="Calibri" w:eastAsia="Calibri"/>
          <w:b w:val="0"/>
          <w:i w:val="0"/>
          <w:color w:val="3F3F3F"/>
          <w:sz w:val="24"/>
        </w:rPr>
        <w:t>June 12, 2026</w:t>
      </w:r>
    </w:p>
    <w:p>
      <w:pPr>
        <w:jc w:val="center"/>
      </w:pPr>
      <w:r>
        <w:rPr>
          <w:rFonts w:ascii="Calibri" w:hAnsi="Calibri" w:eastAsia="Calibri"/>
          <w:b/>
          <w:i w:val="0"/>
          <w:caps/>
          <w:color w:val="C42127"/>
          <w:sz w:val="20"/>
        </w:rPr>
        <w:t>DRAFT 2 — CONFIDENTIAL</w:t>
      </w:r>
    </w:p>
    <w:p>
      <w:r>
        <w:br w:type="page"/>
      </w:r>
    </w:p>
    <w:p>
      <w:pPr>
        <w:pBdr>
          <w:bottom w:val="single" w:sz="8" w:space="4" w:color="D9D9D9"/>
        </w:pBdr>
        <w:spacing w:after="200"/>
      </w:pPr>
      <w:r>
        <w:rPr>
          <w:rFonts w:ascii="Calibri" w:hAnsi="Calibri" w:eastAsia="Calibri"/>
          <w:b/>
          <w:i w:val="0"/>
          <w:color w:val="C42127"/>
          <w:sz w:val="32"/>
        </w:rPr>
        <w:t>Contents</w:t>
      </w:r>
    </w:p>
    <w:p>
      <w:r>
        <w:fldChar w:fldCharType="begin" w:dirty="true"/>
      </w:r>
      <w:r>
        <w:instrText xml:space="preserve">TOC \o "1-1" \h \z \u</w:instrText>
      </w:r>
      <w:r>
        <w:fldChar w:fldCharType="end"/>
      </w:r>
    </w:p>
    <w:p>
      <w:r>
        <w:rPr>
          <w:rFonts w:ascii="Georgia" w:hAnsi="Georgia" w:eastAsia="Georgia"/>
          <w:b w:val="0"/>
          <w:i/>
          <w:color w:val="6E6E6E"/>
          <w:sz w:val="17"/>
        </w:rPr>
        <w:t>If the table of contents does not display, right-click it and choose “Update Field.”</w:t>
      </w:r>
    </w:p>
    <w:p>
      <w:r>
        <w:br w:type="page"/>
      </w:r>
    </w:p>
    <w:p>
      <w:pPr>
        <w:pStyle w:val="Heading1"/>
        <w:pBdr>
          <w:bottom w:val="single" w:sz="8" w:space="4" w:color="D9D9D9"/>
        </w:pBdr>
      </w:pPr>
      <w:r>
        <w:t>Executive Summary</w:t>
      </w:r>
    </w:p>
    <w:p>
      <w:r>
        <w:rPr>
          <w:rFonts w:ascii="Georgia" w:hAnsi="Georgia" w:eastAsia="Georgia"/>
          <w:b w:val="0"/>
          <w:i w:val="0"/>
          <w:sz w:val="21"/>
        </w:rPr>
        <w:t>Victor-Strategies proposes to serve as the Working Group's independent analyst for the online sports betting models under review: validating the data and market assumptions behind each model (Phase I), comparing the revenue-sharing structures on a consistent, per-tribe basis over ten years (Phase II), and assessing the prediction-market risk to tribal exclusivity (Phase III). All three phases are completed within 60 days of contract signing.</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9360"/>
      </w:tblGrid>
      <w:tr>
        <w:tc>
          <w:tcPr>
            <w:tcW w:type="dxa" w:w="9360"/>
            <w:shd w:val="clear" w:fill="F7F2F2"/>
          </w:tcPr>
          <w:p>
            <w:pPr>
              <w:spacing w:before="80" w:after="80"/>
            </w:pPr>
            <w:r>
              <w:rPr>
                <w:rFonts w:ascii="Calibri" w:hAnsi="Calibri" w:eastAsia="Calibri"/>
                <w:b/>
                <w:i w:val="0"/>
                <w:color w:val="C42127"/>
                <w:sz w:val="22"/>
              </w:rPr>
              <w:t>Independence</w:t>
            </w:r>
          </w:p>
          <w:p>
            <w:pPr>
              <w:spacing w:after="120" w:line="276" w:lineRule="auto"/>
            </w:pPr>
            <w:r>
              <w:rPr>
                <w:rFonts w:ascii="Georgia" w:hAnsi="Georgia" w:eastAsia="Georgia"/>
                <w:b w:val="0"/>
                <w:i w:val="0"/>
                <w:sz w:val="20"/>
              </w:rPr>
              <w:t>We have no current relationships with any of the 11 Wisconsin tribes and no current financial relationship with proponents of either model under review. Our only stake in this engagement is the accuracy of the analysis. The Working Group's referee should have nothing to gain from the answer — and we don't.</w:t>
            </w:r>
          </w:p>
        </w:tc>
      </w:tr>
    </w:tbl>
    <w:p>
      <w:pPr>
        <w:spacing w:after="80"/>
      </w:pPr>
    </w:p>
    <w:p>
      <w:pPr>
        <w:spacing w:after="80"/>
      </w:pPr>
      <w:r>
        <w:rPr>
          <w:rFonts w:ascii="Georgia" w:hAnsi="Georgia" w:eastAsia="Georgia"/>
          <w:b/>
          <w:i w:val="0"/>
          <w:sz w:val="21"/>
        </w:rPr>
        <w:t>Why Victor-Strategies:</w:t>
      </w:r>
    </w:p>
    <w:p>
      <w:pPr>
        <w:pStyle w:val="ListBullet"/>
      </w:pPr>
      <w:r>
        <w:rPr>
          <w:rFonts w:ascii="Georgia" w:hAnsi="Georgia" w:eastAsia="Georgia"/>
          <w:b/>
          <w:i w:val="0"/>
          <w:sz w:val="21"/>
        </w:rPr>
        <w:t xml:space="preserve">We have done this engagement before. </w:t>
      </w:r>
      <w:r>
        <w:rPr>
          <w:rFonts w:ascii="Georgia" w:hAnsi="Georgia" w:eastAsia="Georgia"/>
          <w:b w:val="0"/>
          <w:i w:val="0"/>
          <w:sz w:val="21"/>
        </w:rPr>
        <w:t>Over three years (2018–2021) we advised the Choctaw Nation of Oklahoma on its sports betting initiatives, delivering the same components this RFP requests: a regional market study, a 10-year online sports betting revenue model, a retail forecast, and an economic impact analysis (case study, Section A).</w:t>
      </w:r>
    </w:p>
    <w:p>
      <w:pPr>
        <w:pStyle w:val="ListBullet"/>
      </w:pPr>
      <w:r>
        <w:rPr>
          <w:rFonts w:ascii="Georgia" w:hAnsi="Georgia" w:eastAsia="Georgia"/>
          <w:b/>
          <w:i w:val="0"/>
          <w:sz w:val="21"/>
        </w:rPr>
        <w:t xml:space="preserve">Our public forecasts have been tested by real markets. </w:t>
      </w:r>
      <w:r>
        <w:rPr>
          <w:rFonts w:ascii="Georgia" w:hAnsi="Georgia" w:eastAsia="Georgia"/>
          <w:b w:val="0"/>
          <w:i w:val="0"/>
          <w:sz w:val="21"/>
        </w:rPr>
        <w:t>Our team's 2018 statewide study for the Indiana Gaming Commission projected a $256 million annual market at maturity and recommended the mobile-led, low-tax structure Indiana adopted in 2019. The market has since confirmed the forecast's structure — and its deliberately conservative posture (Section A).</w:t>
      </w:r>
    </w:p>
    <w:p>
      <w:pPr>
        <w:pStyle w:val="ListBullet"/>
      </w:pPr>
      <w:r>
        <w:rPr>
          <w:rFonts w:ascii="Georgia" w:hAnsi="Georgia" w:eastAsia="Georgia"/>
          <w:b/>
          <w:i w:val="0"/>
          <w:sz w:val="21"/>
        </w:rPr>
        <w:t xml:space="preserve">We know the bettor. </w:t>
      </w:r>
      <w:r>
        <w:rPr>
          <w:rFonts w:ascii="Georgia" w:hAnsi="Georgia" w:eastAsia="Georgia"/>
          <w:b w:val="0"/>
          <w:i w:val="0"/>
          <w:sz w:val="21"/>
        </w:rPr>
        <w:t>Since the repeal of PASPA in May 2018, Victor-Strategies has interviewed more than 25,000 sports bettors across its client research projects.</w:t>
      </w:r>
    </w:p>
    <w:p>
      <w:pPr>
        <w:pStyle w:val="ListBullet"/>
      </w:pPr>
      <w:r>
        <w:rPr>
          <w:rFonts w:ascii="Georgia" w:hAnsi="Georgia" w:eastAsia="Georgia"/>
          <w:b/>
          <w:i w:val="0"/>
          <w:sz w:val="21"/>
        </w:rPr>
        <w:t xml:space="preserve">We cover the risk this RFP is most concerned about. </w:t>
      </w:r>
      <w:r>
        <w:rPr>
          <w:rFonts w:ascii="Georgia" w:hAnsi="Georgia" w:eastAsia="Georgia"/>
          <w:b w:val="0"/>
          <w:i w:val="0"/>
          <w:sz w:val="21"/>
        </w:rPr>
        <w:t>Dustin Gouker is arguably the industry's most informed analyst of prediction markets, and our team has monitored the U.S. wagering market monthly since 2023 for a major international platform provider, with particular attention to tribal government gaming.</w:t>
      </w:r>
    </w:p>
    <w:p>
      <w:pPr>
        <w:pStyle w:val="ListBullet"/>
      </w:pPr>
      <w:r>
        <w:rPr>
          <w:rFonts w:ascii="Georgia" w:hAnsi="Georgia" w:eastAsia="Georgia"/>
          <w:b/>
          <w:i w:val="0"/>
          <w:sz w:val="21"/>
        </w:rPr>
        <w:t xml:space="preserve">Purpose-built economic modeling. </w:t>
      </w:r>
      <w:r>
        <w:rPr>
          <w:rFonts w:ascii="Georgia" w:hAnsi="Georgia" w:eastAsia="Georgia"/>
          <w:b w:val="0"/>
          <w:i w:val="0"/>
          <w:sz w:val="21"/>
        </w:rPr>
        <w:t>The optional statewide economic impact study runs on GEMS, a gaming-specific input-output platform with dedicated online-gambling multipliers that off-the-shelf software lacks, backed by more than 165 engagements since 2005 (Sections D and J).</w:t>
      </w:r>
    </w:p>
    <w:p>
      <w:pPr>
        <w:pStyle w:val="ListBullet"/>
      </w:pPr>
      <w:r>
        <w:rPr>
          <w:rFonts w:ascii="Georgia" w:hAnsi="Georgia" w:eastAsia="Georgia"/>
          <w:b/>
          <w:i w:val="0"/>
          <w:sz w:val="21"/>
        </w:rPr>
        <w:t xml:space="preserve">Our work holds up under attack. </w:t>
      </w:r>
      <w:r>
        <w:rPr>
          <w:rFonts w:ascii="Georgia" w:hAnsi="Georgia" w:eastAsia="Georgia"/>
          <w:b w:val="0"/>
          <w:i w:val="0"/>
          <w:sz w:val="21"/>
        </w:rPr>
        <w:t>When a funded opposing study disputed our New Jersey iGaming findings, we tested both models line by line and published the analysis. Arbitrating between competing economic models — under scrutiny — is precisely the role this engagement requires.</w:t>
      </w:r>
    </w:p>
    <w:p>
      <w:pPr>
        <w:pStyle w:val="Heading2"/>
      </w:pPr>
      <w:r>
        <w:t>Engagement Timeline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728"/>
        <w:gridCol w:w="4896"/>
        <w:gridCol w:w="3168"/>
      </w:tblGrid>
      <w:tr>
        <w:trPr>
          <w:tblHeader w:val="true"/>
        </w:trPr>
        <w:tc>
          <w:tcPr>
            <w:tcW w:type="dxa" w:w="1728"/>
            <w:shd w:val="clear" w:fill="C42127"/>
          </w:tcPr>
          <w:p>
            <w:pPr>
              <w:spacing w:after="40"/>
            </w:pPr>
            <w:r>
              <w:rPr>
                <w:rFonts w:ascii="Calibri" w:hAnsi="Calibri" w:eastAsia="Calibri"/>
                <w:b/>
                <w:i w:val="0"/>
                <w:color w:val="FFFFFF"/>
                <w:sz w:val="20"/>
              </w:rPr>
              <w:t>Phase</w:t>
            </w:r>
          </w:p>
        </w:tc>
        <w:tc>
          <w:tcPr>
            <w:tcW w:type="dxa" w:w="4896"/>
            <w:shd w:val="clear" w:fill="C42127"/>
          </w:tcPr>
          <w:p>
            <w:pPr>
              <w:spacing w:after="40"/>
            </w:pPr>
            <w:r>
              <w:rPr>
                <w:rFonts w:ascii="Calibri" w:hAnsi="Calibri" w:eastAsia="Calibri"/>
                <w:b/>
                <w:i w:val="0"/>
                <w:color w:val="FFFFFF"/>
                <w:sz w:val="20"/>
              </w:rPr>
              <w:t>Scope</w:t>
            </w:r>
          </w:p>
        </w:tc>
        <w:tc>
          <w:tcPr>
            <w:tcW w:type="dxa" w:w="3168"/>
            <w:shd w:val="clear" w:fill="C42127"/>
          </w:tcPr>
          <w:p>
            <w:pPr>
              <w:spacing w:after="40"/>
            </w:pPr>
            <w:r>
              <w:rPr>
                <w:rFonts w:ascii="Calibri" w:hAnsi="Calibri" w:eastAsia="Calibri"/>
                <w:b/>
                <w:i w:val="0"/>
                <w:color w:val="FFFFFF"/>
                <w:sz w:val="20"/>
              </w:rPr>
              <w:t>Completion</w:t>
            </w:r>
          </w:p>
        </w:tc>
      </w:tr>
      <w:tr>
        <w:trPr>
          <w:cantSplit/>
        </w:trPr>
        <w:tc>
          <w:tcPr>
            <w:tcW w:type="dxa" w:w="1728"/>
          </w:tcPr>
          <w:p>
            <w:pPr>
              <w:spacing w:after="40"/>
            </w:pPr>
            <w:r>
              <w:rPr>
                <w:rFonts w:ascii="Georgia" w:hAnsi="Georgia" w:eastAsia="Georgia"/>
                <w:b/>
                <w:i w:val="0"/>
                <w:sz w:val="19"/>
              </w:rPr>
              <w:t>Phase I</w:t>
            </w:r>
          </w:p>
        </w:tc>
        <w:tc>
          <w:tcPr>
            <w:tcW w:type="dxa" w:w="4896"/>
          </w:tcPr>
          <w:p>
            <w:pPr>
              <w:spacing w:after="40"/>
            </w:pPr>
            <w:r>
              <w:rPr>
                <w:rFonts w:ascii="Georgia" w:hAnsi="Georgia" w:eastAsia="Georgia"/>
                <w:b w:val="0"/>
                <w:i w:val="0"/>
                <w:sz w:val="19"/>
              </w:rPr>
              <w:t>Market assessment and data validation</w:t>
            </w:r>
          </w:p>
        </w:tc>
        <w:tc>
          <w:tcPr>
            <w:tcW w:type="dxa" w:w="3168"/>
          </w:tcPr>
          <w:p>
            <w:pPr>
              <w:spacing w:after="40"/>
            </w:pPr>
            <w:r>
              <w:rPr>
                <w:rFonts w:ascii="Georgia" w:hAnsi="Georgia" w:eastAsia="Georgia"/>
                <w:b w:val="0"/>
                <w:i w:val="0"/>
                <w:sz w:val="19"/>
              </w:rPr>
              <w:t>Day 45</w:t>
            </w:r>
          </w:p>
        </w:tc>
      </w:tr>
      <w:tr>
        <w:trPr>
          <w:cantSplit/>
        </w:trPr>
        <w:tc>
          <w:tcPr>
            <w:tcW w:type="dxa" w:w="1728"/>
          </w:tcPr>
          <w:p>
            <w:pPr>
              <w:spacing w:after="40"/>
            </w:pPr>
            <w:r>
              <w:rPr>
                <w:rFonts w:ascii="Georgia" w:hAnsi="Georgia" w:eastAsia="Georgia"/>
                <w:b/>
                <w:i w:val="0"/>
                <w:sz w:val="19"/>
              </w:rPr>
              <w:t>Phase II</w:t>
            </w:r>
          </w:p>
        </w:tc>
        <w:tc>
          <w:tcPr>
            <w:tcW w:type="dxa" w:w="4896"/>
          </w:tcPr>
          <w:p>
            <w:pPr>
              <w:spacing w:after="40"/>
            </w:pPr>
            <w:r>
              <w:rPr>
                <w:rFonts w:ascii="Georgia" w:hAnsi="Georgia" w:eastAsia="Georgia"/>
                <w:b w:val="0"/>
                <w:i w:val="0"/>
                <w:sz w:val="19"/>
              </w:rPr>
              <w:t>Revenue share model review and comparison</w:t>
            </w:r>
          </w:p>
        </w:tc>
        <w:tc>
          <w:tcPr>
            <w:tcW w:type="dxa" w:w="3168"/>
          </w:tcPr>
          <w:p>
            <w:pPr>
              <w:spacing w:after="40"/>
            </w:pPr>
            <w:r>
              <w:rPr>
                <w:rFonts w:ascii="Georgia" w:hAnsi="Georgia" w:eastAsia="Georgia"/>
                <w:b w:val="0"/>
                <w:i w:val="0"/>
                <w:sz w:val="19"/>
              </w:rPr>
              <w:t>Day 45 (parallel with Phase I)</w:t>
            </w:r>
          </w:p>
        </w:tc>
      </w:tr>
      <w:tr>
        <w:trPr>
          <w:cantSplit/>
        </w:trPr>
        <w:tc>
          <w:tcPr>
            <w:tcW w:type="dxa" w:w="1728"/>
          </w:tcPr>
          <w:p>
            <w:pPr>
              <w:spacing w:after="40"/>
            </w:pPr>
            <w:r>
              <w:rPr>
                <w:rFonts w:ascii="Georgia" w:hAnsi="Georgia" w:eastAsia="Georgia"/>
                <w:b/>
                <w:i w:val="0"/>
                <w:sz w:val="19"/>
              </w:rPr>
              <w:t>Phase II option</w:t>
            </w:r>
          </w:p>
        </w:tc>
        <w:tc>
          <w:tcPr>
            <w:tcW w:type="dxa" w:w="4896"/>
          </w:tcPr>
          <w:p>
            <w:pPr>
              <w:spacing w:after="40"/>
            </w:pPr>
            <w:r>
              <w:rPr>
                <w:rFonts w:ascii="Georgia" w:hAnsi="Georgia" w:eastAsia="Georgia"/>
                <w:b w:val="0"/>
                <w:i w:val="0"/>
                <w:sz w:val="19"/>
              </w:rPr>
              <w:t>Statewide economic impact study (priced separately)</w:t>
            </w:r>
          </w:p>
        </w:tc>
        <w:tc>
          <w:tcPr>
            <w:tcW w:type="dxa" w:w="3168"/>
          </w:tcPr>
          <w:p>
            <w:pPr>
              <w:spacing w:after="40"/>
            </w:pPr>
            <w:r>
              <w:rPr>
                <w:rFonts w:ascii="Georgia" w:hAnsi="Georgia" w:eastAsia="Georgia"/>
                <w:b w:val="0"/>
                <w:i w:val="0"/>
                <w:sz w:val="19"/>
              </w:rPr>
              <w:t>Aligned with Phase II</w:t>
            </w:r>
          </w:p>
        </w:tc>
      </w:tr>
      <w:tr>
        <w:trPr>
          <w:cantSplit/>
        </w:trPr>
        <w:tc>
          <w:tcPr>
            <w:tcW w:type="dxa" w:w="1728"/>
          </w:tcPr>
          <w:p>
            <w:pPr>
              <w:spacing w:after="40"/>
            </w:pPr>
            <w:r>
              <w:rPr>
                <w:rFonts w:ascii="Georgia" w:hAnsi="Georgia" w:eastAsia="Georgia"/>
                <w:b/>
                <w:i w:val="0"/>
                <w:sz w:val="19"/>
              </w:rPr>
              <w:t>Phase III</w:t>
            </w:r>
          </w:p>
        </w:tc>
        <w:tc>
          <w:tcPr>
            <w:tcW w:type="dxa" w:w="4896"/>
          </w:tcPr>
          <w:p>
            <w:pPr>
              <w:spacing w:after="40"/>
            </w:pPr>
            <w:r>
              <w:rPr>
                <w:rFonts w:ascii="Georgia" w:hAnsi="Georgia" w:eastAsia="Georgia"/>
                <w:b w:val="0"/>
                <w:i w:val="0"/>
                <w:sz w:val="19"/>
              </w:rPr>
              <w:t>Prediction markets</w:t>
            </w:r>
          </w:p>
        </w:tc>
        <w:tc>
          <w:tcPr>
            <w:tcW w:type="dxa" w:w="3168"/>
          </w:tcPr>
          <w:p>
            <w:pPr>
              <w:spacing w:after="40"/>
            </w:pPr>
            <w:r>
              <w:rPr>
                <w:rFonts w:ascii="Georgia" w:hAnsi="Georgia" w:eastAsia="Georgia"/>
                <w:b w:val="0"/>
                <w:i w:val="0"/>
                <w:sz w:val="19"/>
              </w:rPr>
              <w:t>Day 60</w:t>
            </w:r>
          </w:p>
        </w:tc>
      </w:tr>
    </w:tbl>
    <w:p>
      <w:pPr>
        <w:spacing w:after="0"/>
      </w:pPr>
      <w:r>
        <w:rPr>
          <w:rFonts w:ascii="Georgia" w:hAnsi="Georgia" w:eastAsia="Georgia"/>
          <w:b w:val="0"/>
          <w:i w:val="0"/>
          <w:sz w:val="21"/>
        </w:rPr>
        <w:t>Total elapsed time: 60 days from contract signing, with Phases I and II running in parallel.</w:t>
      </w:r>
    </w:p>
    <w:p>
      <w:pPr>
        <w:pStyle w:val="Heading1"/>
        <w:pBdr>
          <w:bottom w:val="single" w:sz="8" w:space="4" w:color="D9D9D9"/>
        </w:pBdr>
      </w:pPr>
      <w:r>
        <w:t>A. Company Overview and Relevance of Work</w:t>
      </w:r>
    </w:p>
    <w:p>
      <w:pPr>
        <w:pStyle w:val="Heading2"/>
      </w:pPr>
      <w:r>
        <w:t>Company Overview</w:t>
      </w:r>
    </w:p>
    <w:p>
      <w:r>
        <w:rPr>
          <w:rFonts w:ascii="Georgia" w:hAnsi="Georgia" w:eastAsia="Georgia"/>
          <w:b w:val="0"/>
          <w:i w:val="0"/>
          <w:sz w:val="21"/>
        </w:rPr>
        <w:t>Victor-Strategies is a professional advisory firm providing expert services and critical business insights to the gaming industry, with a particular focus on Indian Country. We provide governments and industry leaders with the strategies, tools, data, and expertise essential for informed decision making and effective operations, supported by research and analysis capabilities of the highest quality.</w:t>
      </w:r>
    </w:p>
    <w:p>
      <w:r>
        <w:rPr>
          <w:rFonts w:ascii="Georgia" w:hAnsi="Georgia" w:eastAsia="Georgia"/>
          <w:b w:val="0"/>
          <w:i w:val="0"/>
          <w:sz w:val="21"/>
        </w:rPr>
        <w:t>Our business model is built on trusted-advisor relationships through which clients can draw on our broad network of strategic partners. That network offers expertise in tribal and commercial gaming — both land-based and interactive — as well as government policy and media strategy, and economic impact and development through conventional and emerging technologies.</w:t>
      </w:r>
    </w:p>
    <w:p>
      <w:r>
        <w:rPr>
          <w:rFonts w:ascii="Georgia" w:hAnsi="Georgia" w:eastAsia="Georgia"/>
          <w:b w:val="0"/>
          <w:i w:val="0"/>
          <w:sz w:val="21"/>
        </w:rPr>
        <w:t>Our principals are recognized thought leaders in the gaming industry and are committed to delivering maximum value to our clients. Our founder, Victor Rocha, serves as Conference Chairman of the Indian Gaming Association while leading Victor-Strategies as its president. He is also the owner and publisher of Pechanga.net, an online information resource for Native American tribes across North America, and has been deeply engaged in the political landscape of U.S. tribal gaming since 1998. Gene Johnson brings more than 35 years of gaming-industry experience spanning information technology, business process improvement, quality assurance, and strategic planning and analysis.</w:t>
      </w:r>
    </w:p>
    <w:p>
      <w:r>
        <w:rPr>
          <w:rFonts w:ascii="Georgia" w:hAnsi="Georgia" w:eastAsia="Georgia"/>
          <w:b w:val="0"/>
          <w:i w:val="0"/>
          <w:sz w:val="21"/>
        </w:rPr>
        <w:t>Since its founding in 2016, Victor-Strategies has conducted primary and secondary research for scores of clients in international markets and in more than thirty U.S. states. This research includes market sizing, revenue analysis, feasibility studies, economic impact, player behavior, gaming consumer research, and new gaming technology. Since the overturn of the Professional and Amateur Sports Protection Act (PASPA) in May 2018, Victor-Strategies has cumulatively interviewed more than 25,000 sports bettors across its client research projects. Selected publicly available examples of our work include the following:</w:t>
      </w:r>
    </w:p>
    <w:p>
      <w:pPr>
        <w:pStyle w:val="ListBullet"/>
      </w:pPr>
      <w:hyperlink r:id="rId12">
        <w:r>
          <w:rPr>
            <w:rFonts w:ascii="Georgia" w:hAnsi="Georgia"/>
            <w:color w:val="1155CC"/>
            <w:sz w:val="19"/>
            <w:u w:val="single"/>
          </w:rPr>
          <w:t>https://ideagrowth.org/research/</w:t>
        </w:r>
      </w:hyperlink>
    </w:p>
    <w:p>
      <w:pPr>
        <w:pStyle w:val="ListBullet"/>
      </w:pPr>
      <w:hyperlink r:id="rId13">
        <w:r>
          <w:rPr>
            <w:rFonts w:ascii="Georgia" w:hAnsi="Georgia"/>
            <w:color w:val="1155CC"/>
            <w:sz w:val="19"/>
            <w:u w:val="single"/>
          </w:rPr>
          <w:t>https://ideagrowth.org/wp-content/uploads/2020/01/Economic-Impact-of-NJ-iGaming_FULL-REPORT_12.19.19.pdf</w:t>
        </w:r>
      </w:hyperlink>
    </w:p>
    <w:p>
      <w:pPr>
        <w:pStyle w:val="ListBullet"/>
      </w:pPr>
      <w:hyperlink r:id="rId14">
        <w:r>
          <w:rPr>
            <w:rFonts w:ascii="Georgia" w:hAnsi="Georgia"/>
            <w:color w:val="1155CC"/>
            <w:sz w:val="19"/>
            <w:u w:val="single"/>
          </w:rPr>
          <w:t>https://www.in.gov/igc/files/Indiana-SportsBettingReport-Final-Oct18-1.pdf</w:t>
        </w:r>
      </w:hyperlink>
    </w:p>
    <w:p>
      <w:pPr>
        <w:pStyle w:val="ListBullet"/>
      </w:pPr>
      <w:hyperlink r:id="rId15">
        <w:r>
          <w:rPr>
            <w:rFonts w:ascii="Georgia" w:hAnsi="Georgia"/>
            <w:color w:val="1155CC"/>
            <w:sz w:val="19"/>
            <w:u w:val="single"/>
          </w:rPr>
          <w:t>https://sbcamericas.com/tag/the-more-you-know-the-bettor-defining-us-sports-betting-customer-personas/</w:t>
        </w:r>
      </w:hyperlink>
    </w:p>
    <w:p>
      <w:pPr>
        <w:pStyle w:val="ListBullet"/>
      </w:pPr>
      <w:hyperlink r:id="rId16">
        <w:r>
          <w:rPr>
            <w:rFonts w:ascii="Georgia" w:hAnsi="Georgia"/>
            <w:color w:val="1155CC"/>
            <w:sz w:val="19"/>
            <w:u w:val="single"/>
          </w:rPr>
          <w:t>http://www.indiangaming.org/info/alerts/Spectrum-Internet-Paper.pdf</w:t>
        </w:r>
      </w:hyperlink>
    </w:p>
    <w:p>
      <w:pPr>
        <w:pStyle w:val="Heading2"/>
      </w:pPr>
      <w:r>
        <w:t>Independence and Conflicts</w:t>
      </w:r>
    </w:p>
    <w:p>
      <w:r>
        <w:rPr>
          <w:rFonts w:ascii="Georgia" w:hAnsi="Georgia" w:eastAsia="Georgia"/>
          <w:b w:val="0"/>
          <w:i w:val="0"/>
          <w:sz w:val="21"/>
        </w:rPr>
        <w:t>We have no current relationships with any of the 11 Wisconsin tribes and no current financial relationship with proponents of either model under review. We are familiar with IGRA Class III compact structures and tribal revenue-sharing frameworks, and most of our work is confidential and performed on behalf of tribal and government clients. For a validation engagement, we regard independence as the threshold qualification: our conclusions are worth only as much as our distance from the outcome.</w:t>
      </w:r>
    </w:p>
    <w:p>
      <w:pPr>
        <w:pStyle w:val="Heading2"/>
      </w:pPr>
      <w:r>
        <w:t>Experience Mapped to This Engagement</w:t>
      </w:r>
    </w:p>
    <w:p>
      <w:r>
        <w:rPr>
          <w:rFonts w:ascii="Georgia" w:hAnsi="Georgia" w:eastAsia="Georgia"/>
          <w:b w:val="0"/>
          <w:i w:val="0"/>
          <w:sz w:val="21"/>
        </w:rPr>
        <w:t>Rather than recite our engagement history chronologically, we summarize below the experience most relevant to each phase of the proposed scope. A complete chronological engagement history appears in Appendix K.</w:t>
      </w:r>
    </w:p>
    <w:p>
      <w:pPr>
        <w:pStyle w:val="Heading3"/>
      </w:pPr>
      <w:r>
        <w:t>Phase I — Market Sizing and Forecast Validation</w:t>
      </w:r>
    </w:p>
    <w:p>
      <w:pPr>
        <w:pStyle w:val="ListBullet"/>
      </w:pPr>
      <w:r>
        <w:rPr>
          <w:rFonts w:ascii="Georgia" w:hAnsi="Georgia" w:eastAsia="Georgia"/>
          <w:b/>
          <w:i w:val="0"/>
          <w:sz w:val="21"/>
        </w:rPr>
        <w:t xml:space="preserve">Minnesota (since 2022, and 2026). </w:t>
      </w:r>
      <w:r>
        <w:rPr>
          <w:rFonts w:ascii="Georgia" w:hAnsi="Georgia" w:eastAsia="Georgia"/>
          <w:b w:val="0"/>
          <w:i w:val="0"/>
          <w:sz w:val="21"/>
        </w:rPr>
        <w:t>Ongoing advisory to a tribal gaming client on the legislative outlook, revenue opportunities, and operational requirements for legalized sports wagering — including multiple market-sizing, handle, and revenue estimates for mobile and retail betting, adjusted to each session's legislative proposals — plus a 2026 feasibility study with statewide and property-specific five-year forecasts. Minnesota is the closest demographic and structural comparable to Wisconsin in our portfolio.</w:t>
      </w:r>
    </w:p>
    <w:p>
      <w:pPr>
        <w:pStyle w:val="ListBullet"/>
      </w:pPr>
      <w:r>
        <w:rPr>
          <w:rFonts w:ascii="Georgia" w:hAnsi="Georgia" w:eastAsia="Georgia"/>
          <w:b/>
          <w:i w:val="0"/>
          <w:sz w:val="21"/>
        </w:rPr>
        <w:t xml:space="preserve">New York (2017 and 2025) and Arkansas (2019). </w:t>
      </w:r>
      <w:r>
        <w:rPr>
          <w:rFonts w:ascii="Georgia" w:hAnsi="Georgia" w:eastAsia="Georgia"/>
          <w:b w:val="0"/>
          <w:i w:val="0"/>
          <w:sz w:val="21"/>
        </w:rPr>
        <w:t>Statewide and property-specific handle and revenue forecasts, including a 10-year forecast for one of the successful bidders in the New York City casino license competition.</w:t>
      </w:r>
    </w:p>
    <w:p>
      <w:pPr>
        <w:pStyle w:val="ListBullet"/>
      </w:pPr>
      <w:r>
        <w:rPr>
          <w:rFonts w:ascii="Georgia" w:hAnsi="Georgia" w:eastAsia="Georgia"/>
          <w:b/>
          <w:i w:val="0"/>
          <w:sz w:val="21"/>
        </w:rPr>
        <w:t xml:space="preserve">Proprietary market data. </w:t>
      </w:r>
      <w:r>
        <w:rPr>
          <w:rFonts w:ascii="Georgia" w:hAnsi="Georgia" w:eastAsia="Georgia"/>
          <w:b w:val="0"/>
          <w:i w:val="0"/>
          <w:sz w:val="21"/>
        </w:rPr>
        <w:t>Alfonso Straffon maintains a proprietary database of online sports betting statistics used by Wall Street investment firms; since 2018 we have also partnered with Eilers &amp; Krejcik Gaming on national and statewide market sizing and consumer research.</w:t>
      </w:r>
    </w:p>
    <w:p>
      <w:r>
        <w:rPr>
          <w:rFonts w:ascii="Georgia" w:hAnsi="Georgia" w:eastAsia="Georgia"/>
          <w:b w:val="0"/>
          <w:i w:val="0"/>
          <w:sz w:val="21"/>
        </w:rPr>
        <w:t>Where our public forecasts can be tested against outcomes, they have held up. Our team's 2018 statewide study for the Indiana Gaming Commission, prepared with Eilers &amp; Krejcik Gaming, projected a $256 million annual market at five-year maturity and recommended a mobile-led market structure at a single-digit tax rate. Indiana adopted that framework in 2019; the mobile channel now produces the large majority of handle, as forecast, and the market reached $404 million in gross revenue in calendar 2023 — ahead of our maturity estimate. We build forecasts to be conservative. That is the posture a validation engagement requires, and the Working Group should expect it from us here.</w:t>
      </w:r>
      <w:r>
        <w:rPr>
          <w:rFonts w:ascii="Georgia" w:hAnsi="Georgia" w:eastAsia="Georgia"/>
          <w:b w:val="0"/>
          <w:i w:val="0"/>
          <w:sz w:val="21"/>
          <w:vertAlign w:val="superscript"/>
        </w:rPr>
        <w:t>1</w:t>
      </w:r>
    </w:p>
    <w:p>
      <w:pPr>
        <w:pStyle w:val="Heading3"/>
      </w:pPr>
      <w:r>
        <w:t>Phase II — Revenue-Sharing Structures and Model Arbitration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9360"/>
      </w:tblGrid>
      <w:tr>
        <w:tc>
          <w:tcPr>
            <w:tcW w:type="dxa" w:w="9360"/>
            <w:shd w:val="clear" w:fill="F7F2F2"/>
          </w:tcPr>
          <w:p>
            <w:pPr>
              <w:spacing w:before="80" w:after="80"/>
            </w:pPr>
            <w:r>
              <w:rPr>
                <w:rFonts w:ascii="Calibri" w:hAnsi="Calibri" w:eastAsia="Calibri"/>
                <w:b/>
                <w:i w:val="0"/>
                <w:color w:val="C42127"/>
                <w:sz w:val="22"/>
              </w:rPr>
              <w:t>Case Study — Choctaw Nation of Oklahoma (2018–2021)</w:t>
            </w:r>
          </w:p>
          <w:p>
            <w:pPr>
              <w:spacing w:after="120" w:line="276" w:lineRule="auto"/>
            </w:pPr>
            <w:r>
              <w:rPr>
                <w:rFonts w:ascii="Georgia" w:hAnsi="Georgia" w:eastAsia="Georgia"/>
                <w:b w:val="0"/>
                <w:i w:val="0"/>
                <w:sz w:val="20"/>
              </w:rPr>
              <w:t>Over three years, Victor-Strategies advised the Choctaw Nation of Oklahoma on its white-label sports betting initiatives, delivering the same components this RFP requests: a regional market study, an online sports betting model with a 10-year revenue forecast, a retail sports betting forecast, and an economic impact analysis. We also surveyed more than 3,000 database customers and non-customers across Oklahoma and Texas, profiling betting behavior, attitudes toward legalization, and demographics — and demonstrating that a significant share of casino players were already betting on sports before legalization.</w:t>
            </w:r>
          </w:p>
          <w:p>
            <w:pPr>
              <w:spacing w:after="120" w:line="276" w:lineRule="auto"/>
            </w:pPr>
            <w:r>
              <w:rPr>
                <w:rFonts w:ascii="Georgia" w:hAnsi="Georgia" w:eastAsia="Georgia"/>
                <w:b w:val="0"/>
                <w:i w:val="0"/>
                <w:sz w:val="20"/>
              </w:rPr>
              <w:t>This engagement is the closest analogue to the Working Group's requirement: a tribal government weighing sports betting market entry, with multi-year revenue forecasts, alternative operating structures, and economic impacts quantified side by side.</w:t>
            </w:r>
          </w:p>
        </w:tc>
      </w:tr>
    </w:tbl>
    <w:p>
      <w:pPr>
        <w:spacing w:after="80"/>
      </w:pPr>
    </w:p>
    <w:p>
      <w:pPr>
        <w:pStyle w:val="ListBullet"/>
      </w:pPr>
      <w:r>
        <w:rPr>
          <w:rFonts w:ascii="Georgia" w:hAnsi="Georgia" w:eastAsia="Georgia"/>
          <w:b/>
          <w:i w:val="0"/>
          <w:sz w:val="21"/>
        </w:rPr>
        <w:t xml:space="preserve">Arbitrating between competing models. </w:t>
      </w:r>
      <w:r>
        <w:rPr>
          <w:rFonts w:ascii="Georgia" w:hAnsi="Georgia" w:eastAsia="Georgia"/>
          <w:b w:val="0"/>
          <w:i w:val="0"/>
          <w:sz w:val="21"/>
        </w:rPr>
        <w:t>In 2024, with Alan Meister of Meister Economic Consulting, Doug Walker, and Dan Waugh of Regulus Partners, we produced A Comprehensive Analysis of NERA's Study on New Jersey's iGaming Economic Impact — testing two competing economic models' data, assumptions, and methods line by line and publishing the findings under adversarial scrutiny. That referee role — evaluating others' models and defending the conclusions — is precisely what Phase II asks of the selected consultant.</w:t>
      </w:r>
    </w:p>
    <w:p>
      <w:pPr>
        <w:pStyle w:val="ListBullet"/>
      </w:pPr>
      <w:r>
        <w:rPr>
          <w:rFonts w:ascii="Georgia" w:hAnsi="Georgia" w:eastAsia="Georgia"/>
          <w:b/>
          <w:i w:val="0"/>
          <w:sz w:val="21"/>
        </w:rPr>
        <w:t xml:space="preserve">Balancing operator and non-operator interests. </w:t>
      </w:r>
      <w:r>
        <w:rPr>
          <w:rFonts w:ascii="Georgia" w:hAnsi="Georgia" w:eastAsia="Georgia"/>
          <w:b w:val="0"/>
          <w:i w:val="0"/>
          <w:sz w:val="21"/>
        </w:rPr>
        <w:t>As lead consultant to the Massachusetts State Lottery Commission's Online Products Task Force (2012), Mr. Johnson advised on adding an online channel while protecting 7,400 retail outlets and the value of pending casino licenses — structurally analogous to weighing operating-tribe risk against non-operating-tribe distributions in Wisconsin.</w:t>
      </w:r>
    </w:p>
    <w:p>
      <w:pPr>
        <w:pStyle w:val="ListBullet"/>
      </w:pPr>
      <w:r>
        <w:rPr>
          <w:rFonts w:ascii="Georgia" w:hAnsi="Georgia" w:eastAsia="Georgia"/>
          <w:b/>
          <w:i w:val="0"/>
          <w:sz w:val="21"/>
        </w:rPr>
        <w:t xml:space="preserve">Tribal consortium policy framing. </w:t>
      </w:r>
      <w:r>
        <w:rPr>
          <w:rFonts w:ascii="Georgia" w:hAnsi="Georgia" w:eastAsia="Georgia"/>
          <w:b w:val="0"/>
          <w:i w:val="0"/>
          <w:sz w:val="21"/>
        </w:rPr>
        <w:t>In 2013, our team analyzed the California Internet poker market for a major tribal casino consortium — market sizing, projected revenues by vertical, and optimal taxation rates — used to frame policy decisions by a consortium of tribal governments.</w:t>
      </w:r>
    </w:p>
    <w:p>
      <w:pPr>
        <w:pStyle w:val="Heading3"/>
      </w:pPr>
      <w:r>
        <w:t>Phase III — Prediction Markets and Emerging Verticals</w:t>
      </w:r>
    </w:p>
    <w:p>
      <w:pPr>
        <w:pStyle w:val="ListBullet"/>
      </w:pPr>
      <w:r>
        <w:rPr>
          <w:rFonts w:ascii="Georgia" w:hAnsi="Georgia" w:eastAsia="Georgia"/>
          <w:b/>
          <w:i w:val="0"/>
          <w:sz w:val="21"/>
        </w:rPr>
        <w:t xml:space="preserve">Dedicated prediction-market expertise. </w:t>
      </w:r>
      <w:r>
        <w:rPr>
          <w:rFonts w:ascii="Georgia" w:hAnsi="Georgia" w:eastAsia="Georgia"/>
          <w:b w:val="0"/>
          <w:i w:val="0"/>
          <w:sz w:val="21"/>
        </w:rPr>
        <w:t>Dustin Gouker, who helped build Legal Sports Report into the industry's reference source, now publishes The Event Horizon, a newsletter tracking prediction markets and their collision with regulated sports betting.</w:t>
      </w:r>
    </w:p>
    <w:p>
      <w:pPr>
        <w:pStyle w:val="ListBullet"/>
      </w:pPr>
      <w:r>
        <w:rPr>
          <w:rFonts w:ascii="Georgia" w:hAnsi="Georgia" w:eastAsia="Georgia"/>
          <w:b/>
          <w:i w:val="0"/>
          <w:sz w:val="21"/>
        </w:rPr>
        <w:t xml:space="preserve">Continuous market monitoring. </w:t>
      </w:r>
      <w:r>
        <w:rPr>
          <w:rFonts w:ascii="Georgia" w:hAnsi="Georgia" w:eastAsia="Georgia"/>
          <w:b w:val="0"/>
          <w:i w:val="0"/>
          <w:sz w:val="21"/>
        </w:rPr>
        <w:t>From 2023 to 2025 we produced monthly reports on the U.S. sports wagering market — including prediction-market developments — for a major international provider of sports betting data, platforms, and player account management systems, with particular attention to tribal government gaming.</w:t>
      </w:r>
    </w:p>
    <w:p>
      <w:pPr>
        <w:pStyle w:val="ListBullet"/>
      </w:pPr>
      <w:r>
        <w:rPr>
          <w:rFonts w:ascii="Georgia" w:hAnsi="Georgia" w:eastAsia="Georgia"/>
          <w:b/>
          <w:i w:val="0"/>
          <w:sz w:val="21"/>
        </w:rPr>
        <w:t xml:space="preserve">Emerging-vertical advisory. </w:t>
      </w:r>
      <w:r>
        <w:rPr>
          <w:rFonts w:ascii="Georgia" w:hAnsi="Georgia" w:eastAsia="Georgia"/>
          <w:b w:val="0"/>
          <w:i w:val="0"/>
          <w:sz w:val="21"/>
        </w:rPr>
        <w:t>From 2018 to 2020 we advised a domestic micro-betting start-up on its U.S. rollout strategy, an engagement that concluded when the client was acquired by a major U.S. sports betting operator.</w:t>
      </w:r>
    </w:p>
    <w:p>
      <w:pPr>
        <w:keepNext/>
        <w:spacing w:before="280"/>
        <w:pBdr>
          <w:bottom w:val="single" w:sz="4" w:space="4" w:color="D9D9D9"/>
        </w:pBdr>
      </w:pPr>
      <w:r>
        <w:rPr>
          <w:rFonts w:ascii="Calibri" w:hAnsi="Calibri" w:eastAsia="Calibri"/>
          <w:b/>
          <w:i w:val="0"/>
          <w:color w:val="6E6E6E"/>
          <w:sz w:val="20"/>
        </w:rPr>
        <w:t>Notes</w:t>
      </w:r>
    </w:p>
    <w:p>
      <w:pPr>
        <w:keepLines/>
      </w:pPr>
      <w:r>
        <w:rPr>
          <w:rFonts w:ascii="Georgia" w:hAnsi="Georgia" w:eastAsia="Georgia"/>
          <w:b w:val="0"/>
          <w:i w:val="0"/>
          <w:sz w:val="21"/>
          <w:vertAlign w:val="superscript"/>
        </w:rPr>
        <w:t xml:space="preserve">1 </w:t>
      </w:r>
      <w:r>
        <w:rPr>
          <w:rFonts w:ascii="Georgia" w:hAnsi="Georgia" w:eastAsia="Georgia"/>
          <w:b w:val="0"/>
          <w:i w:val="0"/>
          <w:sz w:val="18"/>
        </w:rPr>
        <w:t xml:space="preserve">Forecast: Eilers &amp; Krejcik Gaming (2018), Regulated Sports Betting in Indiana, prepared for the Indiana Gaming Commission, </w:t>
      </w:r>
      <w:hyperlink r:id="rId14">
        <w:r>
          <w:rPr>
            <w:rFonts w:ascii="Georgia" w:hAnsi="Georgia"/>
            <w:color w:val="1155CC"/>
            <w:sz w:val="18"/>
            <w:u w:val="single"/>
          </w:rPr>
          <w:t>https://www.in.gov/igc/files/Indiana-SportsBettingReport-Final-Oct18-1.pdf</w:t>
        </w:r>
      </w:hyperlink>
      <w:r>
        <w:rPr>
          <w:rFonts w:ascii="Georgia" w:hAnsi="Georgia" w:eastAsia="Georgia"/>
          <w:b w:val="0"/>
          <w:i w:val="0"/>
          <w:sz w:val="18"/>
        </w:rPr>
        <w:t xml:space="preserve">. Actuals: Indiana Gaming Commission monthly revenue reports, </w:t>
      </w:r>
      <w:hyperlink r:id="rId17">
        <w:r>
          <w:rPr>
            <w:rFonts w:ascii="Georgia" w:hAnsi="Georgia"/>
            <w:color w:val="1155CC"/>
            <w:sz w:val="18"/>
            <w:u w:val="single"/>
          </w:rPr>
          <w:t>https://www.in.gov/igc/publications/monthly-revenue/</w:t>
        </w:r>
      </w:hyperlink>
      <w:r>
        <w:rPr>
          <w:rFonts w:ascii="Georgia" w:hAnsi="Georgia" w:eastAsia="Georgia"/>
          <w:b w:val="0"/>
          <w:i w:val="0"/>
          <w:sz w:val="18"/>
        </w:rPr>
        <w:t xml:space="preserve"> (calendar-2023 taxable adjusted gross revenue of $404.4 million).</w:t>
      </w:r>
    </w:p>
    <w:p>
      <w:pPr>
        <w:pStyle w:val="Heading1"/>
        <w:pageBreakBefore/>
        <w:pBdr>
          <w:bottom w:val="single" w:sz="8" w:space="4" w:color="D9D9D9"/>
        </w:pBdr>
      </w:pPr>
      <w:r>
        <w:t>B. Phase I — Market Assessment and Data Validation</w:t>
      </w:r>
    </w:p>
    <w:p>
      <w:r>
        <w:rPr>
          <w:rFonts w:ascii="Georgia" w:hAnsi="Georgia" w:eastAsia="Georgia"/>
          <w:b w:val="0"/>
          <w:i w:val="0"/>
          <w:sz w:val="21"/>
        </w:rPr>
        <w:t>Victor-Strategies and its team of expert associates will develop an independent statewide online/mobile sports betting model forecasting handle and revenue over a 10-year period. The revenue estimate will incorporate assumptions about expected future trends and the cannibalization effects of new gaming verticals, including social sports sites and — most importantly — prediction markets.</w:t>
      </w:r>
    </w:p>
    <w:p>
      <w:pPr>
        <w:pStyle w:val="Heading2"/>
      </w:pPr>
      <w:r>
        <w:t>Approach and Methodology</w:t>
      </w:r>
    </w:p>
    <w:p>
      <w:pPr>
        <w:pStyle w:val="Heading3"/>
      </w:pPr>
      <w:r>
        <w:t>Wisconsin Mobile Sports Betting Market Size (RFP §8.1.1)</w:t>
      </w:r>
    </w:p>
    <w:p>
      <w:r>
        <w:rPr>
          <w:rFonts w:ascii="Georgia" w:hAnsi="Georgia" w:eastAsia="Georgia"/>
          <w:b w:val="0"/>
          <w:i w:val="0"/>
          <w:sz w:val="21"/>
        </w:rPr>
        <w:t>We will use historical data from states where sports betting is legal to develop comparison metrics for Wisconsin, qualifying those comparisons with demographic statistics including adult population, median and average household income, and consumer purchasing power. The most important comparison metric will be revenue per adult (RPA) — gross gaming revenue (GGR) per adult (21+) — which can be compared directly with states having similar legalization regimes, populations, and income demographics.</w:t>
      </w:r>
    </w:p>
    <w:p>
      <w:r>
        <w:rPr>
          <w:rFonts w:ascii="Georgia" w:hAnsi="Georgia" w:eastAsia="Georgia"/>
          <w:b w:val="0"/>
          <w:i w:val="0"/>
          <w:sz w:val="21"/>
        </w:rPr>
        <w:t>Alfonso Straffon, an expert associate on this engagement, maintains a proprietary database of online sports betting statistics used by Wall Street investment firms. This data will support our independent revenue forecast and serve as a check on the existing revenue models under review.</w:t>
      </w:r>
    </w:p>
    <w:p>
      <w:r>
        <w:rPr>
          <w:rFonts w:ascii="Georgia" w:hAnsi="Georgia" w:eastAsia="Georgia"/>
          <w:b w:val="0"/>
          <w:i w:val="0"/>
          <w:sz w:val="21"/>
        </w:rPr>
        <w:t>Demand-based modeling will be used to estimate potential retail sports betting revenue based on current and future population demographics, gambling penetration, propensity to gamble, and the expected effects of increased regional competition for each of the 11 Indian tribes of Wisconsin.</w:t>
      </w:r>
    </w:p>
    <w:p>
      <w:r>
        <w:rPr>
          <w:rFonts w:ascii="Georgia" w:hAnsi="Georgia" w:eastAsia="Georgia"/>
          <w:b w:val="0"/>
          <w:i w:val="0"/>
          <w:sz w:val="21"/>
        </w:rPr>
        <w:t>Specifically, Victor-Strategies will develop reasonable assumptions for the likely evolution of the statewide sports wagering market over the next ten years and chart its likely trajectory. Because the Wisconsin legalization model is a version of hub-and-spoke featuring tribal exclusivity, we will apply a discount when comparing to commercial online sports betting (OSB) states where national brands face unrestricted competition.</w:t>
      </w:r>
    </w:p>
    <w:p>
      <w:r>
        <w:rPr>
          <w:rFonts w:ascii="Georgia" w:hAnsi="Georgia" w:eastAsia="Georgia"/>
          <w:b w:val="0"/>
          <w:i w:val="0"/>
          <w:sz w:val="21"/>
        </w:rPr>
        <w:t>In accordance with the RFP instructions, our independent model will include a sensitivity analysis at multiple discount levels to establish a range of plausible market outcomes. We will also review the potential tribal-operator-only market size with no promotional restrictions versus a 30 percent promotional restriction.</w:t>
      </w:r>
    </w:p>
    <w:p>
      <w:pPr>
        <w:pStyle w:val="Heading3"/>
      </w:pPr>
      <w:r>
        <w:t>Data Accuracy Review (RFP §8.1.2)</w:t>
      </w:r>
    </w:p>
    <w:p>
      <w:r>
        <w:rPr>
          <w:rFonts w:ascii="Georgia" w:hAnsi="Georgia" w:eastAsia="Georgia"/>
          <w:b w:val="0"/>
          <w:i w:val="0"/>
          <w:sz w:val="21"/>
        </w:rPr>
        <w:t>As instructed in the RFP, Victor-Strategies will conduct a data accuracy review, evaluating the accuracy, completeness, and reliability of all submitted raw data and identifying inconsistencies, unsupported assumptions, and material gaps. Our independent revenue model and proprietary database will provide the basis for evaluating the data and assumptions underlying the other models.</w:t>
      </w:r>
    </w:p>
    <w:p>
      <w:r>
        <w:rPr>
          <w:rFonts w:ascii="Georgia" w:hAnsi="Georgia" w:eastAsia="Georgia"/>
          <w:b w:val="0"/>
          <w:i w:val="0"/>
          <w:sz w:val="21"/>
        </w:rPr>
        <w:t>Ideally, the Phase I independent statewide revenue model will be completed before we review the existing models' accuracy and assumptions; client timelines will determine our actual sequencing.</w:t>
      </w:r>
    </w:p>
    <w:p>
      <w:pPr>
        <w:pStyle w:val="Heading2"/>
      </w:pPr>
      <w:r>
        <w:t>Phase I Deliverables (RFP §8.1.3)</w:t>
      </w:r>
    </w:p>
    <w:p>
      <w:pPr>
        <w:pStyle w:val="ListBullet"/>
      </w:pPr>
      <w:r>
        <w:rPr>
          <w:rFonts w:ascii="Georgia" w:hAnsi="Georgia" w:eastAsia="Georgia"/>
          <w:b w:val="0"/>
          <w:i w:val="0"/>
          <w:sz w:val="21"/>
        </w:rPr>
        <w:t>Market-sizing summary with GGR estimates and documented assumptions.</w:t>
      </w:r>
    </w:p>
    <w:p>
      <w:pPr>
        <w:pStyle w:val="ListBullet"/>
      </w:pPr>
      <w:r>
        <w:rPr>
          <w:rFonts w:ascii="Georgia" w:hAnsi="Georgia" w:eastAsia="Georgia"/>
          <w:b w:val="0"/>
          <w:i w:val="0"/>
          <w:sz w:val="21"/>
        </w:rPr>
        <w:t>Written assessment of data accuracy, gaps, and limitations in all submitted models.</w:t>
      </w:r>
    </w:p>
    <w:p>
      <w:pPr>
        <w:pStyle w:val="ListBullet"/>
      </w:pPr>
      <w:r>
        <w:rPr>
          <w:rFonts w:ascii="Georgia" w:hAnsi="Georgia" w:eastAsia="Georgia"/>
          <w:b w:val="0"/>
          <w:i w:val="0"/>
          <w:sz w:val="21"/>
        </w:rPr>
        <w:t>Adjusted Wisconsin GGR forecast with sensitivity analysis.</w:t>
      </w:r>
    </w:p>
    <w:p>
      <w:pPr>
        <w:spacing w:before="80"/>
      </w:pPr>
      <w:r>
        <w:rPr>
          <w:rFonts w:ascii="Georgia" w:hAnsi="Georgia" w:eastAsia="Georgia"/>
          <w:b/>
          <w:i w:val="0"/>
          <w:sz w:val="21"/>
        </w:rPr>
        <w:t xml:space="preserve">Timeline: </w:t>
      </w:r>
      <w:r>
        <w:rPr>
          <w:rFonts w:ascii="Georgia" w:hAnsi="Georgia" w:eastAsia="Georgia"/>
          <w:b w:val="0"/>
          <w:i w:val="0"/>
          <w:sz w:val="21"/>
        </w:rPr>
        <w:t>Completed within 45 days of contract signing.</w:t>
      </w:r>
    </w:p>
    <w:p>
      <w:pPr>
        <w:pStyle w:val="Heading1"/>
        <w:pBdr>
          <w:bottom w:val="single" w:sz="8" w:space="4" w:color="D9D9D9"/>
        </w:pBdr>
      </w:pPr>
      <w:r>
        <w:t>C. Phase II — Revenue Share Model Review and Comparison</w:t>
      </w:r>
    </w:p>
    <w:p>
      <w:pPr>
        <w:pStyle w:val="Heading2"/>
      </w:pPr>
      <w:r>
        <w:t>Approach and Methodology</w:t>
      </w:r>
    </w:p>
    <w:p>
      <w:pPr>
        <w:pStyle w:val="Heading3"/>
      </w:pPr>
      <w:r>
        <w:t>Comparative Analysis (RFP §8.2.1)</w:t>
      </w:r>
    </w:p>
    <w:p>
      <w:r>
        <w:rPr>
          <w:rFonts w:ascii="Georgia" w:hAnsi="Georgia" w:eastAsia="Georgia"/>
          <w:b w:val="0"/>
          <w:i w:val="0"/>
          <w:sz w:val="21"/>
        </w:rPr>
        <w:t>Victor-Strategies will develop parallel comparisons of all reviewed models to determine the most equitable and beneficial revenue-sharing arrangement. These comparisons will cover revenue definitions (GGR versus net gaming revenue), expense allocations, risk assumptions, scalability, and market sensitivity. We will analyze variations in contribution structures — including alternative percentages and breakpoints such as those featured in the Red Cliff framework — to assess their effects on distribution levels, operator risk, and operational costs. We will also identify the financial risks and costs borne by operating tribes under each model to which non-operating tribes are not exposed.</w:t>
      </w:r>
    </w:p>
    <w:p>
      <w:pPr>
        <w:pStyle w:val="Heading3"/>
      </w:pPr>
      <w:r>
        <w:t>All-Model Financial Analysis</w:t>
      </w:r>
    </w:p>
    <w:p>
      <w:r>
        <w:rPr>
          <w:rFonts w:ascii="Georgia" w:hAnsi="Georgia" w:eastAsia="Georgia"/>
          <w:b w:val="0"/>
          <w:i w:val="0"/>
          <w:sz w:val="21"/>
        </w:rPr>
        <w:t>As instructed in the RFP, the Victor-Strategies team will:</w:t>
      </w:r>
    </w:p>
    <w:p>
      <w:pPr>
        <w:pStyle w:val="ListBullet"/>
      </w:pPr>
      <w:r>
        <w:rPr>
          <w:rFonts w:ascii="Georgia" w:hAnsi="Georgia" w:eastAsia="Georgia"/>
          <w:b w:val="0"/>
          <w:i w:val="0"/>
          <w:sz w:val="21"/>
        </w:rPr>
        <w:t>Verify that the net gaming revenue (NGR) definition — GGR less federal excise tax and promotional credits, with no further deductions — is industry-standard and protective against operator circumvention.</w:t>
      </w:r>
    </w:p>
    <w:p>
      <w:pPr>
        <w:pStyle w:val="ListBullet"/>
      </w:pPr>
      <w:r>
        <w:rPr>
          <w:rFonts w:ascii="Georgia" w:hAnsi="Georgia" w:eastAsia="Georgia"/>
          <w:b w:val="0"/>
          <w:i w:val="0"/>
          <w:sz w:val="21"/>
        </w:rPr>
        <w:t>Quantify per-tribe capital exposure under each model: upfront capital expenditures and annual operating expenses until breakeven, and the percentage of profit retained for reinvestment versus distributed.</w:t>
      </w:r>
    </w:p>
    <w:p>
      <w:pPr>
        <w:pStyle w:val="ListBullet"/>
      </w:pPr>
      <w:r>
        <w:rPr>
          <w:rFonts w:ascii="Georgia" w:hAnsi="Georgia" w:eastAsia="Georgia"/>
          <w:b w:val="0"/>
          <w:i w:val="0"/>
          <w:sz w:val="21"/>
        </w:rPr>
        <w:t>Evaluate the potential market impacts of multiple apps operating under one operator.</w:t>
      </w:r>
    </w:p>
    <w:p>
      <w:pPr>
        <w:pStyle w:val="ListBullet"/>
      </w:pPr>
      <w:r>
        <w:rPr>
          <w:rFonts w:ascii="Georgia" w:hAnsi="Georgia" w:eastAsia="Georgia"/>
          <w:b w:val="0"/>
          <w:i w:val="0"/>
          <w:sz w:val="21"/>
        </w:rPr>
        <w:t>Provide a scenario analysis of the three potential brand structures: (1) a newly created tribal brand; (2) an existing Wisconsin tribal gaming brand used as the communal brand; or (3) a nationally recognized non-Wisconsin gaming brand licensed to the joint venture. For each scenario we will assess startup costs, ongoing fees, the impact on per-tribe distributions, and the effect on tribal sovereignty and brand control, and compare each scenario financially to the B2B model.</w:t>
      </w:r>
    </w:p>
    <w:p>
      <w:pPr>
        <w:pStyle w:val="Heading3"/>
      </w:pPr>
      <w:r>
        <w:t>GGR Estimation and 10-Year Comparison (RFP §8.2.2)</w:t>
      </w:r>
    </w:p>
    <w:p>
      <w:r>
        <w:rPr>
          <w:rFonts w:ascii="Georgia" w:hAnsi="Georgia" w:eastAsia="Georgia"/>
          <w:b w:val="0"/>
          <w:i w:val="0"/>
          <w:sz w:val="21"/>
        </w:rPr>
        <w:t>As instructed in the RFP, Victor-Strategies will:</w:t>
      </w:r>
    </w:p>
    <w:p>
      <w:pPr>
        <w:pStyle w:val="ListBullet"/>
      </w:pPr>
      <w:r>
        <w:rPr>
          <w:rFonts w:ascii="Georgia" w:hAnsi="Georgia" w:eastAsia="Georgia"/>
          <w:b w:val="0"/>
          <w:i w:val="0"/>
          <w:sz w:val="21"/>
        </w:rPr>
        <w:t>Estimate total GGR for the Wisconsin market based on Phase I validated data and market assumptions, clearly identifying all assumptions used.</w:t>
      </w:r>
    </w:p>
    <w:p>
      <w:pPr>
        <w:pStyle w:val="ListBullet"/>
      </w:pPr>
      <w:r>
        <w:rPr>
          <w:rFonts w:ascii="Georgia" w:hAnsi="Georgia" w:eastAsia="Georgia"/>
          <w:b w:val="0"/>
          <w:i w:val="0"/>
          <w:sz w:val="21"/>
        </w:rPr>
        <w:t>Present a side-by-side, 10-year, per-tribe economic comparison of all models using consistent GGR assumptions from Phase I.</w:t>
      </w:r>
    </w:p>
    <w:p>
      <w:pPr>
        <w:pStyle w:val="Heading2"/>
      </w:pPr>
      <w:r>
        <w:t>Phase II Deliverables (RFP §8.2.3)</w:t>
      </w:r>
    </w:p>
    <w:p>
      <w:pPr>
        <w:pStyle w:val="ListBullet"/>
      </w:pPr>
      <w:r>
        <w:rPr>
          <w:rFonts w:ascii="Georgia" w:hAnsi="Georgia" w:eastAsia="Georgia"/>
          <w:b w:val="0"/>
          <w:i w:val="0"/>
          <w:sz w:val="21"/>
        </w:rPr>
        <w:t>Revenue model comparison matrix covering all submitted models.</w:t>
      </w:r>
    </w:p>
    <w:p>
      <w:pPr>
        <w:pStyle w:val="ListBullet"/>
      </w:pPr>
      <w:r>
        <w:rPr>
          <w:rFonts w:ascii="Georgia" w:hAnsi="Georgia" w:eastAsia="Georgia"/>
          <w:b w:val="0"/>
          <w:i w:val="0"/>
          <w:sz w:val="21"/>
        </w:rPr>
        <w:t>Written assessment of strengths, weaknesses, and risk allocation by model.</w:t>
      </w:r>
    </w:p>
    <w:p>
      <w:pPr>
        <w:pStyle w:val="ListBullet"/>
      </w:pPr>
      <w:r>
        <w:rPr>
          <w:rFonts w:ascii="Georgia" w:hAnsi="Georgia" w:eastAsia="Georgia"/>
          <w:b w:val="0"/>
          <w:i w:val="0"/>
          <w:sz w:val="21"/>
        </w:rPr>
        <w:t>Any additional model recommendations that Victor-Strategies would propose for Wisconsin.</w:t>
      </w:r>
    </w:p>
    <w:p>
      <w:pPr>
        <w:spacing w:before="80"/>
      </w:pPr>
      <w:r>
        <w:rPr>
          <w:rFonts w:ascii="Georgia" w:hAnsi="Georgia" w:eastAsia="Georgia"/>
          <w:b/>
          <w:i w:val="0"/>
          <w:sz w:val="21"/>
        </w:rPr>
        <w:t xml:space="preserve">Timeline: </w:t>
      </w:r>
      <w:r>
        <w:rPr>
          <w:rFonts w:ascii="Georgia" w:hAnsi="Georgia" w:eastAsia="Georgia"/>
          <w:b w:val="0"/>
          <w:i w:val="0"/>
          <w:sz w:val="21"/>
        </w:rPr>
        <w:t>Completed within 45 days of contract signing.</w:t>
      </w:r>
    </w:p>
    <w:p>
      <w:pPr>
        <w:pStyle w:val="Heading1"/>
        <w:pageBreakBefore/>
        <w:pBdr>
          <w:bottom w:val="single" w:sz="8" w:space="4" w:color="D9D9D9"/>
        </w:pBdr>
      </w:pPr>
      <w:r>
        <w:t>D. Phase II Option — Statewide Economic Impact Study</w:t>
      </w:r>
    </w:p>
    <w:p>
      <w:pPr>
        <w:pStyle w:val="Heading2"/>
      </w:pPr>
      <w:r>
        <w:t>Background</w:t>
      </w:r>
    </w:p>
    <w:p>
      <w:r>
        <w:rPr>
          <w:rFonts w:ascii="Georgia" w:hAnsi="Georgia" w:eastAsia="Georgia"/>
          <w:b w:val="0"/>
          <w:i w:val="0"/>
          <w:sz w:val="21"/>
        </w:rPr>
        <w:t>Economic impact analysis was not specifically requested in the Wisconsin Tribal Nations request for proposal. During the question period, however, Victor-Strategies asked whether statewide economic impact was an element of any of the models under review, and whether the consultant should include a statewide economic impact component in its independent revenue model. The answer was affirmative, so we include an economic impact component in this response. It is offered as an additional option, priced separately from the other phases of our proposal.</w:t>
      </w:r>
    </w:p>
    <w:p>
      <w:r>
        <w:rPr>
          <w:rFonts w:ascii="Georgia" w:hAnsi="Georgia" w:eastAsia="Georgia"/>
          <w:b w:val="0"/>
          <w:i w:val="0"/>
          <w:sz w:val="21"/>
        </w:rPr>
        <w:t>Before the methodology, one finding deserves to be stated plainly, because it answers the question tribal decision-makers ask first: will online sports betting take revenue from tribal casino floors? The peer-reviewed literature — including research by our lead economist — finds that online and land-based gambling behave as complements when the offerings are horizontally integrated: online wagering is associated with gains, not losses, in land-based gaming revenue. We treat this as an empirical question to be verified with Wisconsin data rather than an assumption, but the evidence runs in the tribes' favor.</w:t>
      </w:r>
      <w:r>
        <w:rPr>
          <w:rFonts w:ascii="Georgia" w:hAnsi="Georgia" w:eastAsia="Georgia"/>
          <w:b w:val="0"/>
          <w:i w:val="0"/>
          <w:sz w:val="21"/>
          <w:vertAlign w:val="superscript"/>
        </w:rPr>
        <w:t>2</w:t>
      </w:r>
    </w:p>
    <w:p>
      <w:pPr>
        <w:pStyle w:val="Heading2"/>
      </w:pPr>
      <w:r>
        <w:t>Approach and Methodology</w:t>
      </w:r>
    </w:p>
    <w:p>
      <w:r>
        <w:rPr>
          <w:rFonts w:ascii="Georgia" w:hAnsi="Georgia" w:eastAsia="Georgia"/>
          <w:b w:val="0"/>
          <w:i w:val="0"/>
          <w:sz w:val="21"/>
        </w:rPr>
        <w:t>If included, this macroeconomic analysis will estimate the total statewide economic impact of online sports wagering as forecast by the recommended sports betting revenue model. The impact of this new economic vertical will be measured across several dimensions: economic output; value added at the state level, or gross state product (GSP); full-time-equivalent (FTE) employment; employee compensation; and non-gaming tax revenue. Results will be reported as direct, indirect, and induced impacts to the State of Wisconsin and, by inference, to the tribes.</w:t>
      </w:r>
    </w:p>
    <w:p>
      <w:r>
        <w:rPr>
          <w:rFonts w:ascii="Georgia" w:hAnsi="Georgia" w:eastAsia="Georgia"/>
          <w:b w:val="0"/>
          <w:i w:val="0"/>
          <w:sz w:val="21"/>
        </w:rPr>
        <w:t>Economic impact is a measure of the spending and employment associated with a business, a sector of the economy, a specific project (such as the construction of a new facility), or a change in government policy or regulation. It can be measured in several ways, most commonly the dollar value of output produced and the person-years (full-time equivalents) of employment generated. These figures assess the gross level of activity or expenditure; they are not net measures that weigh benefits against costs, but they are useful in developing an appreciation of businesses, projects, investments, and economic sectors. In our modeling we do account for the shifts in consumption that are clearest to define — namely, shifts by Wisconsin residents from other household goods and services to sports wagering.</w:t>
      </w:r>
    </w:p>
    <w:p>
      <w:pPr>
        <w:pStyle w:val="Heading3"/>
      </w:pPr>
      <w:r>
        <w:t>The GEMS Modeling Platform</w:t>
      </w:r>
    </w:p>
    <w:p>
      <w:r>
        <w:rPr>
          <w:rFonts w:ascii="Georgia" w:hAnsi="Georgia" w:eastAsia="Georgia"/>
          <w:b w:val="0"/>
          <w:i w:val="0"/>
          <w:sz w:val="21"/>
        </w:rPr>
        <w:t>Our calculations will be performed with GEMS (Gaming Economic Modeling System), a proprietary input-output (IO) modeling platform developed by GP Consulting and purpose-built for the gaming industry. GEMS covers all 50 states and is constructed from federal economic accounts: state IO multipliers derived from U.S. EPA state input-output models, employment and wage coefficients from the Bureau of Labor Statistics Quarterly Census of Employment and Wages, and industry detail from the Bureau of Economic Analysis (BEA).</w:t>
      </w:r>
    </w:p>
    <w:p>
      <w:r>
        <w:rPr>
          <w:rFonts w:ascii="Georgia" w:hAnsi="Georgia" w:eastAsia="Georgia"/>
          <w:b w:val="0"/>
          <w:i w:val="0"/>
          <w:sz w:val="21"/>
        </w:rPr>
        <w:t>GEMS addresses a structural weakness of standard, off-the-shelf economic impact software for gaming applications. Conventional platforms model casinos within a blended industry sector that combines gambling with golf courses, fitness centers, and amusement parks — activities with fundamentally different labor and cost structures — which systematically misstates the employment and value-added effects of gaming operations. GEMS isolates gambling-specific multipliers from the BEA detail accounts and adds dedicated online-gambling coefficients that conventional models lack entirely. For an online sports betting analysis, this produces materially more accurate estimates than generic, blended-sector multipliers.</w:t>
      </w:r>
    </w:p>
    <w:p>
      <w:r>
        <w:rPr>
          <w:rFonts w:ascii="Georgia" w:hAnsi="Georgia" w:eastAsia="Georgia"/>
          <w:b w:val="0"/>
          <w:i w:val="0"/>
          <w:sz w:val="21"/>
        </w:rPr>
        <w:t>GEMS produces transparent, replicable estimates of output, value added, employment, wages, and state and local fiscal effects, decomposed into direct, indirect, and induced impacts using Type I and Type II (Leontief) multipliers. It incorporates direct employment data where available and enables rapid, consistent comparison of alternative revenue scenarios — a useful feature when evaluating the alternative market structures contemplated in this engagement.</w:t>
      </w:r>
    </w:p>
    <w:p>
      <w:pPr>
        <w:pStyle w:val="Heading3"/>
      </w:pPr>
      <w:r>
        <w:t>Illustrative GEMS Output for Wisconsin</w:t>
      </w:r>
    </w:p>
    <w:p>
      <w:r>
        <w:rPr>
          <w:rFonts w:ascii="Georgia" w:hAnsi="Georgia" w:eastAsia="Georgia"/>
          <w:b w:val="0"/>
          <w:i w:val="0"/>
          <w:sz w:val="21"/>
        </w:rPr>
        <w:t>To make the option concrete, the table below shows what the platform produces today for the Wisconsin online gambling sector, scaled to each $100 million of gross gaming revenue retained in-state (2023 multiplier vintage, Type II):</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4176"/>
        <w:gridCol w:w="1296"/>
        <w:gridCol w:w="1296"/>
        <w:gridCol w:w="1296"/>
        <w:gridCol w:w="1296"/>
      </w:tblGrid>
      <w:tr>
        <w:trPr>
          <w:tblHeader w:val="true"/>
        </w:trPr>
        <w:tc>
          <w:tcPr>
            <w:tcW w:type="dxa" w:w="4176"/>
            <w:shd w:val="clear" w:fill="C42127"/>
          </w:tcPr>
          <w:p>
            <w:pPr>
              <w:spacing w:after="40"/>
            </w:pPr>
            <w:r>
              <w:rPr>
                <w:rFonts w:ascii="Calibri" w:hAnsi="Calibri" w:eastAsia="Calibri"/>
                <w:b/>
                <w:i w:val="0"/>
                <w:color w:val="FFFFFF"/>
                <w:sz w:val="20"/>
              </w:rPr>
              <w:t>Measure (per $100M GGR)</w:t>
            </w:r>
          </w:p>
        </w:tc>
        <w:tc>
          <w:tcPr>
            <w:tcW w:type="dxa" w:w="1296"/>
            <w:shd w:val="clear" w:fill="C42127"/>
          </w:tcPr>
          <w:p>
            <w:pPr>
              <w:spacing w:after="40"/>
              <w:jc w:val="right"/>
            </w:pPr>
            <w:r>
              <w:rPr>
                <w:rFonts w:ascii="Calibri" w:hAnsi="Calibri" w:eastAsia="Calibri"/>
                <w:b/>
                <w:i w:val="0"/>
                <w:color w:val="FFFFFF"/>
                <w:sz w:val="20"/>
              </w:rPr>
              <w:t>Direct</w:t>
            </w:r>
          </w:p>
        </w:tc>
        <w:tc>
          <w:tcPr>
            <w:tcW w:type="dxa" w:w="1296"/>
            <w:shd w:val="clear" w:fill="C42127"/>
          </w:tcPr>
          <w:p>
            <w:pPr>
              <w:spacing w:after="40"/>
              <w:jc w:val="right"/>
            </w:pPr>
            <w:r>
              <w:rPr>
                <w:rFonts w:ascii="Calibri" w:hAnsi="Calibri" w:eastAsia="Calibri"/>
                <w:b/>
                <w:i w:val="0"/>
                <w:color w:val="FFFFFF"/>
                <w:sz w:val="20"/>
              </w:rPr>
              <w:t>Indirect</w:t>
            </w:r>
          </w:p>
        </w:tc>
        <w:tc>
          <w:tcPr>
            <w:tcW w:type="dxa" w:w="1296"/>
            <w:shd w:val="clear" w:fill="C42127"/>
          </w:tcPr>
          <w:p>
            <w:pPr>
              <w:spacing w:after="40"/>
              <w:jc w:val="right"/>
            </w:pPr>
            <w:r>
              <w:rPr>
                <w:rFonts w:ascii="Calibri" w:hAnsi="Calibri" w:eastAsia="Calibri"/>
                <w:b/>
                <w:i w:val="0"/>
                <w:color w:val="FFFFFF"/>
                <w:sz w:val="20"/>
              </w:rPr>
              <w:t>Induced</w:t>
            </w:r>
          </w:p>
        </w:tc>
        <w:tc>
          <w:tcPr>
            <w:tcW w:type="dxa" w:w="1296"/>
            <w:shd w:val="clear" w:fill="C42127"/>
          </w:tcPr>
          <w:p>
            <w:pPr>
              <w:spacing w:after="40"/>
              <w:jc w:val="right"/>
            </w:pPr>
            <w:r>
              <w:rPr>
                <w:rFonts w:ascii="Calibri" w:hAnsi="Calibri" w:eastAsia="Calibri"/>
                <w:b/>
                <w:i w:val="0"/>
                <w:color w:val="FFFFFF"/>
                <w:sz w:val="20"/>
              </w:rPr>
              <w:t>Total</w:t>
            </w:r>
          </w:p>
        </w:tc>
      </w:tr>
      <w:tr>
        <w:trPr>
          <w:cantSplit/>
        </w:trPr>
        <w:tc>
          <w:tcPr>
            <w:tcW w:type="dxa" w:w="4176"/>
          </w:tcPr>
          <w:p>
            <w:pPr>
              <w:spacing w:after="40"/>
            </w:pPr>
            <w:r>
              <w:rPr>
                <w:rFonts w:ascii="Georgia" w:hAnsi="Georgia" w:eastAsia="Georgia"/>
                <w:b/>
                <w:i w:val="0"/>
                <w:sz w:val="19"/>
              </w:rPr>
              <w:t>Economic output ($M)</w:t>
            </w:r>
          </w:p>
        </w:tc>
        <w:tc>
          <w:tcPr>
            <w:tcW w:type="dxa" w:w="1296"/>
          </w:tcPr>
          <w:p>
            <w:pPr>
              <w:spacing w:after="40"/>
              <w:jc w:val="right"/>
            </w:pPr>
            <w:r>
              <w:rPr>
                <w:rFonts w:ascii="Georgia" w:hAnsi="Georgia" w:eastAsia="Georgia"/>
                <w:b w:val="0"/>
                <w:i w:val="0"/>
                <w:sz w:val="19"/>
              </w:rPr>
              <w:t>100.0</w:t>
            </w:r>
          </w:p>
        </w:tc>
        <w:tc>
          <w:tcPr>
            <w:tcW w:type="dxa" w:w="1296"/>
          </w:tcPr>
          <w:p>
            <w:pPr>
              <w:spacing w:after="40"/>
              <w:jc w:val="right"/>
            </w:pPr>
            <w:r>
              <w:rPr>
                <w:rFonts w:ascii="Georgia" w:hAnsi="Georgia" w:eastAsia="Georgia"/>
                <w:b w:val="0"/>
                <w:i w:val="0"/>
                <w:sz w:val="19"/>
              </w:rPr>
              <w:t>25.7</w:t>
            </w:r>
          </w:p>
        </w:tc>
        <w:tc>
          <w:tcPr>
            <w:tcW w:type="dxa" w:w="1296"/>
          </w:tcPr>
          <w:p>
            <w:pPr>
              <w:spacing w:after="40"/>
              <w:jc w:val="right"/>
            </w:pPr>
            <w:r>
              <w:rPr>
                <w:rFonts w:ascii="Georgia" w:hAnsi="Georgia" w:eastAsia="Georgia"/>
                <w:b w:val="0"/>
                <w:i w:val="0"/>
                <w:sz w:val="19"/>
              </w:rPr>
              <w:t>49.8</w:t>
            </w:r>
          </w:p>
        </w:tc>
        <w:tc>
          <w:tcPr>
            <w:tcW w:type="dxa" w:w="1296"/>
          </w:tcPr>
          <w:p>
            <w:pPr>
              <w:spacing w:after="40"/>
              <w:jc w:val="right"/>
            </w:pPr>
            <w:r>
              <w:rPr>
                <w:rFonts w:ascii="Georgia" w:hAnsi="Georgia" w:eastAsia="Georgia"/>
                <w:b w:val="0"/>
                <w:i w:val="0"/>
                <w:sz w:val="19"/>
              </w:rPr>
              <w:t>175.5</w:t>
            </w:r>
          </w:p>
        </w:tc>
      </w:tr>
      <w:tr>
        <w:trPr>
          <w:cantSplit/>
        </w:trPr>
        <w:tc>
          <w:tcPr>
            <w:tcW w:type="dxa" w:w="4176"/>
          </w:tcPr>
          <w:p>
            <w:pPr>
              <w:spacing w:after="40"/>
            </w:pPr>
            <w:r>
              <w:rPr>
                <w:rFonts w:ascii="Georgia" w:hAnsi="Georgia" w:eastAsia="Georgia"/>
                <w:b/>
                <w:i w:val="0"/>
                <w:sz w:val="19"/>
              </w:rPr>
              <w:t>Value added / GSP ($M)</w:t>
            </w:r>
          </w:p>
        </w:tc>
        <w:tc>
          <w:tcPr>
            <w:tcW w:type="dxa" w:w="1296"/>
          </w:tcPr>
          <w:p>
            <w:pPr>
              <w:spacing w:after="40"/>
              <w:jc w:val="right"/>
            </w:pPr>
            <w:r>
              <w:rPr>
                <w:rFonts w:ascii="Georgia" w:hAnsi="Georgia" w:eastAsia="Georgia"/>
                <w:b w:val="0"/>
                <w:i w:val="0"/>
                <w:sz w:val="19"/>
              </w:rPr>
              <w:t>47.3</w:t>
            </w:r>
          </w:p>
        </w:tc>
        <w:tc>
          <w:tcPr>
            <w:tcW w:type="dxa" w:w="1296"/>
          </w:tcPr>
          <w:p>
            <w:pPr>
              <w:spacing w:after="40"/>
              <w:jc w:val="right"/>
            </w:pPr>
            <w:r>
              <w:rPr>
                <w:rFonts w:ascii="Georgia" w:hAnsi="Georgia" w:eastAsia="Georgia"/>
                <w:b w:val="0"/>
                <w:i w:val="0"/>
                <w:sz w:val="19"/>
              </w:rPr>
              <w:t>12.1</w:t>
            </w:r>
          </w:p>
        </w:tc>
        <w:tc>
          <w:tcPr>
            <w:tcW w:type="dxa" w:w="1296"/>
          </w:tcPr>
          <w:p>
            <w:pPr>
              <w:spacing w:after="40"/>
              <w:jc w:val="right"/>
            </w:pPr>
            <w:r>
              <w:rPr>
                <w:rFonts w:ascii="Georgia" w:hAnsi="Georgia" w:eastAsia="Georgia"/>
                <w:b w:val="0"/>
                <w:i w:val="0"/>
                <w:sz w:val="19"/>
              </w:rPr>
              <w:t>29.5</w:t>
            </w:r>
          </w:p>
        </w:tc>
        <w:tc>
          <w:tcPr>
            <w:tcW w:type="dxa" w:w="1296"/>
          </w:tcPr>
          <w:p>
            <w:pPr>
              <w:spacing w:after="40"/>
              <w:jc w:val="right"/>
            </w:pPr>
            <w:r>
              <w:rPr>
                <w:rFonts w:ascii="Georgia" w:hAnsi="Georgia" w:eastAsia="Georgia"/>
                <w:b w:val="0"/>
                <w:i w:val="0"/>
                <w:sz w:val="19"/>
              </w:rPr>
              <w:t>88.9</w:t>
            </w:r>
          </w:p>
        </w:tc>
      </w:tr>
      <w:tr>
        <w:trPr>
          <w:cantSplit/>
        </w:trPr>
        <w:tc>
          <w:tcPr>
            <w:tcW w:type="dxa" w:w="4176"/>
          </w:tcPr>
          <w:p>
            <w:pPr>
              <w:spacing w:after="40"/>
            </w:pPr>
            <w:r>
              <w:rPr>
                <w:rFonts w:ascii="Georgia" w:hAnsi="Georgia" w:eastAsia="Georgia"/>
                <w:b/>
                <w:i w:val="0"/>
                <w:sz w:val="19"/>
              </w:rPr>
              <w:t>Employment (FTE jobs)</w:t>
            </w:r>
          </w:p>
        </w:tc>
        <w:tc>
          <w:tcPr>
            <w:tcW w:type="dxa" w:w="1296"/>
          </w:tcPr>
          <w:p>
            <w:pPr>
              <w:spacing w:after="40"/>
              <w:jc w:val="right"/>
            </w:pPr>
            <w:r>
              <w:rPr>
                <w:rFonts w:ascii="Georgia" w:hAnsi="Georgia" w:eastAsia="Georgia"/>
                <w:b w:val="0"/>
                <w:i w:val="0"/>
                <w:sz w:val="19"/>
              </w:rPr>
              <w:t>153</w:t>
            </w:r>
          </w:p>
        </w:tc>
        <w:tc>
          <w:tcPr>
            <w:tcW w:type="dxa" w:w="1296"/>
          </w:tcPr>
          <w:p>
            <w:pPr>
              <w:spacing w:after="40"/>
              <w:jc w:val="right"/>
            </w:pPr>
            <w:r>
              <w:rPr>
                <w:rFonts w:ascii="Georgia" w:hAnsi="Georgia" w:eastAsia="Georgia"/>
                <w:b w:val="0"/>
                <w:i w:val="0"/>
                <w:sz w:val="19"/>
              </w:rPr>
              <w:t>27</w:t>
            </w:r>
          </w:p>
        </w:tc>
        <w:tc>
          <w:tcPr>
            <w:tcW w:type="dxa" w:w="1296"/>
          </w:tcPr>
          <w:p>
            <w:pPr>
              <w:spacing w:after="40"/>
              <w:jc w:val="right"/>
            </w:pPr>
            <w:r>
              <w:rPr>
                <w:rFonts w:ascii="Georgia" w:hAnsi="Georgia" w:eastAsia="Georgia"/>
                <w:b w:val="0"/>
                <w:i w:val="0"/>
                <w:sz w:val="19"/>
              </w:rPr>
              <w:t>60</w:t>
            </w:r>
          </w:p>
        </w:tc>
        <w:tc>
          <w:tcPr>
            <w:tcW w:type="dxa" w:w="1296"/>
          </w:tcPr>
          <w:p>
            <w:pPr>
              <w:spacing w:after="40"/>
              <w:jc w:val="right"/>
            </w:pPr>
            <w:r>
              <w:rPr>
                <w:rFonts w:ascii="Georgia" w:hAnsi="Georgia" w:eastAsia="Georgia"/>
                <w:b w:val="0"/>
                <w:i w:val="0"/>
                <w:sz w:val="19"/>
              </w:rPr>
              <w:t>240</w:t>
            </w:r>
          </w:p>
        </w:tc>
      </w:tr>
      <w:tr>
        <w:trPr>
          <w:cantSplit/>
        </w:trPr>
        <w:tc>
          <w:tcPr>
            <w:tcW w:type="dxa" w:w="4176"/>
          </w:tcPr>
          <w:p>
            <w:pPr>
              <w:spacing w:after="40"/>
            </w:pPr>
            <w:r>
              <w:rPr>
                <w:rFonts w:ascii="Georgia" w:hAnsi="Georgia" w:eastAsia="Georgia"/>
                <w:b/>
                <w:i w:val="0"/>
                <w:sz w:val="19"/>
              </w:rPr>
              <w:t>Employee compensation ($M)</w:t>
            </w:r>
          </w:p>
        </w:tc>
        <w:tc>
          <w:tcPr>
            <w:tcW w:type="dxa" w:w="1296"/>
          </w:tcPr>
          <w:p>
            <w:pPr>
              <w:spacing w:after="40"/>
              <w:jc w:val="right"/>
            </w:pPr>
            <w:r>
              <w:rPr>
                <w:rFonts w:ascii="Georgia" w:hAnsi="Georgia" w:eastAsia="Georgia"/>
                <w:b w:val="0"/>
                <w:i w:val="0"/>
                <w:sz w:val="19"/>
              </w:rPr>
              <w:t>12.6</w:t>
            </w:r>
          </w:p>
        </w:tc>
        <w:tc>
          <w:tcPr>
            <w:tcW w:type="dxa" w:w="1296"/>
          </w:tcPr>
          <w:p>
            <w:pPr>
              <w:spacing w:after="40"/>
              <w:jc w:val="right"/>
            </w:pPr>
            <w:r>
              <w:rPr>
                <w:rFonts w:ascii="Georgia" w:hAnsi="Georgia" w:eastAsia="Georgia"/>
                <w:b w:val="0"/>
                <w:i w:val="0"/>
                <w:sz w:val="19"/>
              </w:rPr>
              <w:t>4.8</w:t>
            </w:r>
          </w:p>
        </w:tc>
        <w:tc>
          <w:tcPr>
            <w:tcW w:type="dxa" w:w="1296"/>
          </w:tcPr>
          <w:p>
            <w:pPr>
              <w:spacing w:after="40"/>
              <w:jc w:val="right"/>
            </w:pPr>
            <w:r>
              <w:rPr>
                <w:rFonts w:ascii="Georgia" w:hAnsi="Georgia" w:eastAsia="Georgia"/>
                <w:b w:val="0"/>
                <w:i w:val="0"/>
                <w:sz w:val="19"/>
              </w:rPr>
              <w:t>11.3</w:t>
            </w:r>
          </w:p>
        </w:tc>
        <w:tc>
          <w:tcPr>
            <w:tcW w:type="dxa" w:w="1296"/>
          </w:tcPr>
          <w:p>
            <w:pPr>
              <w:spacing w:after="40"/>
              <w:jc w:val="right"/>
            </w:pPr>
            <w:r>
              <w:rPr>
                <w:rFonts w:ascii="Georgia" w:hAnsi="Georgia" w:eastAsia="Georgia"/>
                <w:b w:val="0"/>
                <w:i w:val="0"/>
                <w:sz w:val="19"/>
              </w:rPr>
              <w:t>28.8</w:t>
            </w:r>
          </w:p>
        </w:tc>
      </w:tr>
      <w:tr>
        <w:trPr>
          <w:cantSplit/>
        </w:trPr>
        <w:tc>
          <w:tcPr>
            <w:tcW w:type="dxa" w:w="4176"/>
          </w:tcPr>
          <w:p>
            <w:pPr>
              <w:spacing w:after="40"/>
            </w:pPr>
            <w:r>
              <w:rPr>
                <w:rFonts w:ascii="Georgia" w:hAnsi="Georgia" w:eastAsia="Georgia"/>
                <w:b/>
                <w:i w:val="0"/>
                <w:sz w:val="19"/>
              </w:rPr>
              <w:t>State &amp; local production taxes ($M)</w:t>
            </w:r>
          </w:p>
        </w:tc>
        <w:tc>
          <w:tcPr>
            <w:tcW w:type="dxa" w:w="1296"/>
          </w:tcPr>
          <w:p>
            <w:pPr>
              <w:spacing w:after="40"/>
              <w:jc w:val="right"/>
            </w:pPr>
            <w:r>
              <w:rPr>
                <w:rFonts w:ascii="Georgia" w:hAnsi="Georgia" w:eastAsia="Georgia"/>
                <w:b w:val="0"/>
                <w:i w:val="0"/>
                <w:sz w:val="19"/>
              </w:rPr>
              <w:t>5.2</w:t>
            </w:r>
          </w:p>
        </w:tc>
        <w:tc>
          <w:tcPr>
            <w:tcW w:type="dxa" w:w="1296"/>
          </w:tcPr>
          <w:p>
            <w:pPr>
              <w:spacing w:after="40"/>
              <w:jc w:val="right"/>
            </w:pPr>
            <w:r>
              <w:rPr>
                <w:rFonts w:ascii="Georgia" w:hAnsi="Georgia" w:eastAsia="Georgia"/>
                <w:b w:val="0"/>
                <w:i w:val="0"/>
                <w:sz w:val="19"/>
              </w:rPr>
              <w:t>0.7</w:t>
            </w:r>
          </w:p>
        </w:tc>
        <w:tc>
          <w:tcPr>
            <w:tcW w:type="dxa" w:w="1296"/>
          </w:tcPr>
          <w:p>
            <w:pPr>
              <w:spacing w:after="40"/>
              <w:jc w:val="right"/>
            </w:pPr>
            <w:r>
              <w:rPr>
                <w:rFonts w:ascii="Georgia" w:hAnsi="Georgia" w:eastAsia="Georgia"/>
                <w:b w:val="0"/>
                <w:i w:val="0"/>
                <w:sz w:val="19"/>
              </w:rPr>
              <w:t>2.4</w:t>
            </w:r>
          </w:p>
        </w:tc>
        <w:tc>
          <w:tcPr>
            <w:tcW w:type="dxa" w:w="1296"/>
          </w:tcPr>
          <w:p>
            <w:pPr>
              <w:spacing w:after="40"/>
              <w:jc w:val="right"/>
            </w:pPr>
            <w:r>
              <w:rPr>
                <w:rFonts w:ascii="Georgia" w:hAnsi="Georgia" w:eastAsia="Georgia"/>
                <w:b w:val="0"/>
                <w:i w:val="0"/>
                <w:sz w:val="19"/>
              </w:rPr>
              <w:t>8.3</w:t>
            </w:r>
          </w:p>
        </w:tc>
      </w:tr>
    </w:tbl>
    <w:p>
      <w:r>
        <w:rPr>
          <w:rFonts w:ascii="Georgia" w:hAnsi="Georgia" w:eastAsia="Georgia"/>
          <w:b w:val="0"/>
          <w:i/>
          <w:sz w:val="21"/>
        </w:rPr>
        <w:t xml:space="preserve">These figures are illustrative of the platform's current output, not a forecast. </w:t>
      </w:r>
      <w:r>
        <w:rPr>
          <w:rFonts w:ascii="Georgia" w:hAnsi="Georgia" w:eastAsia="Georgia"/>
          <w:b w:val="0"/>
          <w:i/>
          <w:sz w:val="21"/>
        </w:rPr>
        <w:t>Engagement results will be driven by the Phase I revenue model and Wisconsin-specific operating assumptions — in particular the share of platform employment located in-state, promotional spending treatment, and the household-spending substitution assumptions described below.</w:t>
      </w:r>
    </w:p>
    <w:p>
      <w:pPr>
        <w:pStyle w:val="Heading3"/>
      </w:pPr>
      <w:r>
        <w:t>Measures of Impact</w:t>
      </w:r>
    </w:p>
    <w:p>
      <w:r>
        <w:rPr>
          <w:rFonts w:ascii="Georgia" w:hAnsi="Georgia" w:eastAsia="Georgia"/>
          <w:b w:val="0"/>
          <w:i w:val="0"/>
          <w:sz w:val="21"/>
        </w:rPr>
        <w:t>The statewide economic impact of sports wagering expansion will be measured across the following dimensions:</w:t>
      </w:r>
    </w:p>
    <w:p>
      <w:pPr>
        <w:pStyle w:val="ListBullet"/>
      </w:pPr>
      <w:r>
        <w:rPr>
          <w:rFonts w:ascii="Georgia" w:hAnsi="Georgia" w:eastAsia="Georgia"/>
          <w:b w:val="0"/>
          <w:i w:val="0"/>
          <w:sz w:val="21"/>
        </w:rPr>
        <w:t>Economic output</w:t>
      </w:r>
    </w:p>
    <w:p>
      <w:pPr>
        <w:pStyle w:val="ListBullet"/>
      </w:pPr>
      <w:r>
        <w:rPr>
          <w:rFonts w:ascii="Georgia" w:hAnsi="Georgia" w:eastAsia="Georgia"/>
          <w:b w:val="0"/>
          <w:i w:val="0"/>
          <w:sz w:val="21"/>
        </w:rPr>
        <w:t>Value added, or gross state product (GSP)</w:t>
      </w:r>
    </w:p>
    <w:p>
      <w:pPr>
        <w:pStyle w:val="ListBullet"/>
      </w:pPr>
      <w:r>
        <w:rPr>
          <w:rFonts w:ascii="Georgia" w:hAnsi="Georgia" w:eastAsia="Georgia"/>
          <w:b w:val="0"/>
          <w:i w:val="0"/>
          <w:sz w:val="21"/>
        </w:rPr>
        <w:t>Full-time-equivalent (FTE) employment</w:t>
      </w:r>
    </w:p>
    <w:p>
      <w:pPr>
        <w:pStyle w:val="ListBullet"/>
      </w:pPr>
      <w:r>
        <w:rPr>
          <w:rFonts w:ascii="Georgia" w:hAnsi="Georgia" w:eastAsia="Georgia"/>
          <w:b w:val="0"/>
          <w:i w:val="0"/>
          <w:sz w:val="21"/>
        </w:rPr>
        <w:t>Employee compensation</w:t>
      </w:r>
    </w:p>
    <w:p>
      <w:pPr>
        <w:pStyle w:val="ListBullet"/>
      </w:pPr>
      <w:r>
        <w:rPr>
          <w:rFonts w:ascii="Georgia" w:hAnsi="Georgia" w:eastAsia="Georgia"/>
          <w:b w:val="0"/>
          <w:i w:val="0"/>
          <w:sz w:val="21"/>
        </w:rPr>
        <w:t>Non-gaming tax revenue (production, payroll, and household taxes)</w:t>
      </w:r>
    </w:p>
    <w:p>
      <w:r>
        <w:rPr>
          <w:rFonts w:ascii="Georgia" w:hAnsi="Georgia" w:eastAsia="Georgia"/>
          <w:b w:val="0"/>
          <w:i w:val="0"/>
          <w:sz w:val="21"/>
        </w:rPr>
        <w:t>We estimate economic activity through three layers of effects — direct, indirect, and induced:</w:t>
      </w:r>
    </w:p>
    <w:p>
      <w:pPr>
        <w:pStyle w:val="ListBullet"/>
      </w:pPr>
      <w:r>
        <w:rPr>
          <w:rFonts w:ascii="Georgia" w:hAnsi="Georgia" w:eastAsia="Georgia"/>
          <w:b/>
          <w:i w:val="0"/>
          <w:sz w:val="21"/>
        </w:rPr>
        <w:t xml:space="preserve">Direct economic impact </w:t>
      </w:r>
      <w:r>
        <w:rPr>
          <w:rFonts w:ascii="Georgia" w:hAnsi="Georgia" w:eastAsia="Georgia"/>
          <w:b w:val="0"/>
          <w:i w:val="0"/>
          <w:sz w:val="21"/>
        </w:rPr>
        <w:t>is the employment and economic output attributable to the operation and management of the sportsbook within the operator's business. This includes the jobs located directly at the operator, together with the professional staff, management, marketing, and other workers required to run the platform.</w:t>
      </w:r>
    </w:p>
    <w:p>
      <w:pPr>
        <w:pStyle w:val="ListBullet"/>
      </w:pPr>
      <w:r>
        <w:rPr>
          <w:rFonts w:ascii="Georgia" w:hAnsi="Georgia" w:eastAsia="Georgia"/>
          <w:b/>
          <w:i w:val="0"/>
          <w:sz w:val="21"/>
        </w:rPr>
        <w:t xml:space="preserve">Indirect economic impact </w:t>
      </w:r>
      <w:r>
        <w:rPr>
          <w:rFonts w:ascii="Georgia" w:hAnsi="Georgia" w:eastAsia="Georgia"/>
          <w:b w:val="0"/>
          <w:i w:val="0"/>
          <w:sz w:val="21"/>
        </w:rPr>
        <w:t>is the employment, value added, and economic output created in industries that supply goods and services to the operator — for example, a local IT company that installs hardware, or an in-state office supplier that furnishes back-of-house spaces.</w:t>
      </w:r>
    </w:p>
    <w:p>
      <w:pPr>
        <w:pStyle w:val="ListBullet"/>
      </w:pPr>
      <w:r>
        <w:rPr>
          <w:rFonts w:ascii="Georgia" w:hAnsi="Georgia" w:eastAsia="Georgia"/>
          <w:b/>
          <w:i w:val="0"/>
          <w:sz w:val="21"/>
        </w:rPr>
        <w:t xml:space="preserve">Induced economic impact </w:t>
      </w:r>
      <w:r>
        <w:rPr>
          <w:rFonts w:ascii="Georgia" w:hAnsi="Georgia" w:eastAsia="Georgia"/>
          <w:b w:val="0"/>
          <w:i w:val="0"/>
          <w:sz w:val="21"/>
        </w:rPr>
        <w:t>is the employment, value added, and economic output generated by the spending of individuals employed directly or indirectly by the operator — for example, operator employees consuming services such as a meal at a Wisconsin restaurant.</w:t>
      </w:r>
    </w:p>
    <w:p>
      <w:pPr>
        <w:pStyle w:val="ListBullet"/>
      </w:pPr>
      <w:r>
        <w:rPr>
          <w:rFonts w:ascii="Georgia" w:hAnsi="Georgia" w:eastAsia="Georgia"/>
          <w:b/>
          <w:i w:val="0"/>
          <w:sz w:val="21"/>
        </w:rPr>
        <w:t xml:space="preserve">Total economic impact </w:t>
      </w:r>
      <w:r>
        <w:rPr>
          <w:rFonts w:ascii="Georgia" w:hAnsi="Georgia" w:eastAsia="Georgia"/>
          <w:b w:val="0"/>
          <w:i w:val="0"/>
          <w:sz w:val="21"/>
        </w:rPr>
        <w:t>is the sum of direct, indirect, and induced effects. The multiplier (indirect and induced) impacts represent the maximum potential stimulus to the economy from gaming-related business activity.</w:t>
      </w:r>
    </w:p>
    <w:p>
      <w:pPr>
        <w:pStyle w:val="Heading3"/>
      </w:pPr>
      <w:r>
        <w:t>Catalytic Impacts</w:t>
      </w:r>
    </w:p>
    <w:p>
      <w:r>
        <w:rPr>
          <w:rFonts w:ascii="Georgia" w:hAnsi="Georgia" w:eastAsia="Georgia"/>
          <w:b w:val="0"/>
          <w:i w:val="0"/>
          <w:sz w:val="21"/>
        </w:rPr>
        <w:t>Total economic impacts are conventionally defined as the sum of direct, indirect, and induced effects. Some sectors, however, are also capable of producing catalytic impacts — economic growth enabled by another sector, industry, or firm. Aviation is often cited as a source of catalytic impacts because it allows trade that would otherwise not occur, such as air cargo transport of perishable goods.</w:t>
      </w:r>
      <w:r>
        <w:rPr>
          <w:rFonts w:ascii="Georgia" w:hAnsi="Georgia" w:eastAsia="Georgia"/>
          <w:b w:val="0"/>
          <w:i w:val="0"/>
          <w:sz w:val="21"/>
          <w:vertAlign w:val="superscript"/>
        </w:rPr>
        <w:t>3</w:t>
      </w:r>
    </w:p>
    <w:p>
      <w:r>
        <w:rPr>
          <w:rFonts w:ascii="Georgia" w:hAnsi="Georgia" w:eastAsia="Georgia"/>
          <w:b w:val="0"/>
          <w:i w:val="0"/>
          <w:sz w:val="21"/>
        </w:rPr>
        <w:t>In Wisconsin, the expansion of sports betting could similarly facilitate catalytic impacts. If sports betting attracts new entrepreneurs to the state, for example, the industry may spur the development of a new set of businesses that would not otherwise have considered expanding there.</w:t>
      </w:r>
    </w:p>
    <w:p>
      <w:r>
        <w:rPr>
          <w:rFonts w:ascii="Georgia" w:hAnsi="Georgia" w:eastAsia="Georgia"/>
          <w:b w:val="0"/>
          <w:i w:val="0"/>
          <w:sz w:val="21"/>
        </w:rPr>
        <w:t>Under a typical, conservative economic impact methodology, such potential catalytic impacts are not measured. We considered including catalytic estimates, but they would require significant assumptions about innovation and consumer behavior that would materially increase the margin of error on our projections. We are nonetheless comfortable asserting that adopting a more business-friendly set of policies will typically have a net positive effect on surrounding businesses, and we note that our figures and approach are conservative: there is reason to believe the Wisconsin economy would experience impacts beyond those specifically measured in this study.</w:t>
      </w:r>
    </w:p>
    <w:p>
      <w:pPr>
        <w:pStyle w:val="Heading3"/>
      </w:pPr>
      <w:r>
        <w:t>Evidence of Impacts on Existing Gaming Businesses</w:t>
      </w:r>
    </w:p>
    <w:p>
      <w:r>
        <w:rPr>
          <w:rFonts w:ascii="Georgia" w:hAnsi="Georgia" w:eastAsia="Georgia"/>
          <w:b w:val="0"/>
          <w:i w:val="0"/>
          <w:sz w:val="21"/>
        </w:rPr>
        <w:t>A common public policy question is whether new gaming revenue will cannibalize existing businesses in the area — in particular, other gaming businesses. The question is especially important when the potentially cannibalized business produces higher margins or public revenue. As noted under Background, the academic literature has consistently pointed to a non-negative effect: offline gaming businesses are estimated to realize positive revenue gains from increased sports betting participation when the systems can be horizontally integrated.</w:t>
      </w:r>
    </w:p>
    <w:p>
      <w:r>
        <w:rPr>
          <w:rFonts w:ascii="Georgia" w:hAnsi="Georgia" w:eastAsia="Georgia"/>
          <w:b w:val="0"/>
          <w:i w:val="0"/>
          <w:sz w:val="21"/>
        </w:rPr>
        <w:t>An important test of whether economic impact figures can be trusted for policymaking is whether a negative impact is occurring elsewhere in the economy. While we expect aggregate effects on existing gaming businesses to be positive or nil (not cannibalistic), we make explicit assumptions about changes in household discretionary spending by Wisconsin residents: we assume that revenue from Wisconsin residents is diverted from other spending, based on existing spending patterns and scenario-based analyses.</w:t>
      </w:r>
    </w:p>
    <w:p>
      <w:pPr>
        <w:pStyle w:val="Heading2"/>
      </w:pPr>
      <w:r>
        <w:t>Economic Impact Deliverables</w:t>
      </w:r>
    </w:p>
    <w:p>
      <w:pPr>
        <w:pStyle w:val="ListBullet"/>
      </w:pPr>
      <w:r>
        <w:rPr>
          <w:rFonts w:ascii="Georgia" w:hAnsi="Georgia" w:eastAsia="Georgia"/>
          <w:b w:val="0"/>
          <w:i w:val="0"/>
          <w:sz w:val="21"/>
        </w:rPr>
        <w:t>A separate section of our management summary report detailing the statewide direct, indirect, induced, and total economic impacts of an online sports betting industry across the tribal and commercial economies of Wisconsin.</w:t>
      </w:r>
    </w:p>
    <w:p>
      <w:pPr>
        <w:spacing w:before="80"/>
      </w:pPr>
      <w:r>
        <w:rPr>
          <w:rFonts w:ascii="Georgia" w:hAnsi="Georgia" w:eastAsia="Georgia"/>
          <w:b/>
          <w:i w:val="0"/>
          <w:sz w:val="21"/>
        </w:rPr>
        <w:t xml:space="preserve">Timeline: </w:t>
      </w:r>
      <w:r>
        <w:rPr>
          <w:rFonts w:ascii="Georgia" w:hAnsi="Georgia" w:eastAsia="Georgia"/>
          <w:b w:val="0"/>
          <w:i w:val="0"/>
          <w:sz w:val="21"/>
        </w:rPr>
        <w:t>Priced separately as an optional addition to Phase II; schedule to be aligned with the Phase II deliverables.</w:t>
      </w:r>
    </w:p>
    <w:p>
      <w:pPr>
        <w:keepNext/>
        <w:spacing w:before="280"/>
        <w:pBdr>
          <w:bottom w:val="single" w:sz="4" w:space="4" w:color="D9D9D9"/>
        </w:pBdr>
      </w:pPr>
      <w:r>
        <w:rPr>
          <w:rFonts w:ascii="Calibri" w:hAnsi="Calibri" w:eastAsia="Calibri"/>
          <w:b/>
          <w:i w:val="0"/>
          <w:color w:val="6E6E6E"/>
          <w:sz w:val="20"/>
        </w:rPr>
        <w:t>Notes</w:t>
      </w:r>
    </w:p>
    <w:p>
      <w:pPr>
        <w:keepNext/>
        <w:keepLines/>
        <w:spacing w:after="60"/>
      </w:pPr>
      <w:r>
        <w:rPr>
          <w:rFonts w:ascii="Georgia" w:hAnsi="Georgia" w:eastAsia="Georgia"/>
          <w:b w:val="0"/>
          <w:i w:val="0"/>
          <w:sz w:val="21"/>
          <w:vertAlign w:val="superscript"/>
        </w:rPr>
        <w:t xml:space="preserve">2 </w:t>
      </w:r>
      <w:r>
        <w:rPr>
          <w:rFonts w:ascii="Georgia" w:hAnsi="Georgia" w:eastAsia="Georgia"/>
          <w:b w:val="0"/>
          <w:i w:val="0"/>
          <w:sz w:val="18"/>
        </w:rPr>
        <w:t xml:space="preserve">Philander, K., Abarbanel, B., &amp; Repetti, T. (2015). Consumer spending in the gaming industry: Evidence of complementary demand in casino and online venues. International Gambling Studies. </w:t>
      </w:r>
      <w:hyperlink r:id="rId18">
        <w:r>
          <w:rPr>
            <w:rFonts w:ascii="Georgia" w:hAnsi="Georgia"/>
            <w:color w:val="1155CC"/>
            <w:sz w:val="18"/>
            <w:u w:val="single"/>
          </w:rPr>
          <w:t>https://www.tandfonline.com/doi/abs/10.1080/14459795.2015.1042002</w:t>
        </w:r>
      </w:hyperlink>
    </w:p>
    <w:p>
      <w:pPr>
        <w:keepLines/>
      </w:pPr>
      <w:r>
        <w:rPr>
          <w:rFonts w:ascii="Georgia" w:hAnsi="Georgia" w:eastAsia="Georgia"/>
          <w:b w:val="0"/>
          <w:i w:val="0"/>
          <w:sz w:val="21"/>
          <w:vertAlign w:val="superscript"/>
        </w:rPr>
        <w:t xml:space="preserve">3 </w:t>
      </w:r>
      <w:r>
        <w:rPr>
          <w:rFonts w:ascii="Georgia" w:hAnsi="Georgia" w:eastAsia="Georgia"/>
          <w:b w:val="0"/>
          <w:i w:val="0"/>
          <w:sz w:val="18"/>
        </w:rPr>
        <w:t xml:space="preserve">Tretheway, M. (2010). Economic Impacts of Aviation: Catalytic Impacts. ACED Conference. </w:t>
      </w:r>
      <w:hyperlink r:id="rId19">
        <w:r>
          <w:rPr>
            <w:rFonts w:ascii="Georgia" w:hAnsi="Georgia"/>
            <w:color w:val="1155CC"/>
            <w:sz w:val="18"/>
            <w:u w:val="single"/>
          </w:rPr>
          <w:t>http://www.intervistas.com/downloads/presentations/Economic_Impacts_of_Aviation_Catalytic_Impacts_MTR_20Sep2010.pdf</w:t>
        </w:r>
      </w:hyperlink>
    </w:p>
    <w:p>
      <w:pPr>
        <w:pStyle w:val="Heading1"/>
        <w:pageBreakBefore/>
        <w:pBdr>
          <w:bottom w:val="single" w:sz="8" w:space="4" w:color="D9D9D9"/>
        </w:pBdr>
      </w:pPr>
      <w:r>
        <w:t>E. Phase III — Prediction Markets</w:t>
      </w:r>
    </w:p>
    <w:p>
      <w:pPr>
        <w:pStyle w:val="Heading2"/>
      </w:pPr>
      <w:r>
        <w:t>Approach and Methodology</w:t>
      </w:r>
    </w:p>
    <w:p>
      <w:pPr>
        <w:pStyle w:val="Heading3"/>
      </w:pPr>
      <w:r>
        <w:t>Prediction Market Analysis (RFP §8.3.1)</w:t>
      </w:r>
    </w:p>
    <w:p>
      <w:r>
        <w:rPr>
          <w:rFonts w:ascii="Georgia" w:hAnsi="Georgia" w:eastAsia="Georgia"/>
          <w:b w:val="0"/>
          <w:i w:val="0"/>
          <w:sz w:val="21"/>
        </w:rPr>
        <w:t>As instructed in the RFP, the Victor-Strategies team will:</w:t>
      </w:r>
    </w:p>
    <w:p>
      <w:pPr>
        <w:pStyle w:val="ListBullet"/>
      </w:pPr>
      <w:r>
        <w:rPr>
          <w:rFonts w:ascii="Georgia" w:hAnsi="Georgia" w:eastAsia="Georgia"/>
          <w:b w:val="0"/>
          <w:i w:val="0"/>
          <w:sz w:val="21"/>
        </w:rPr>
        <w:t>Analyze how prediction markets are currently affecting the states in which they operate — specifically their effect on licensed sports betting handle, GGR, and tribal revenue.</w:t>
      </w:r>
    </w:p>
    <w:p>
      <w:pPr>
        <w:pStyle w:val="ListBullet"/>
      </w:pPr>
      <w:r>
        <w:rPr>
          <w:rFonts w:ascii="Georgia" w:hAnsi="Georgia" w:eastAsia="Georgia"/>
          <w:b w:val="0"/>
          <w:i w:val="0"/>
          <w:sz w:val="21"/>
        </w:rPr>
        <w:t>Assess the impact of prediction market growth on the Wisconsin market projections from Phase I, including any required adjustments to GGR estimates.</w:t>
      </w:r>
    </w:p>
    <w:p>
      <w:pPr>
        <w:pStyle w:val="ListBullet"/>
      </w:pPr>
      <w:r>
        <w:rPr>
          <w:rFonts w:ascii="Georgia" w:hAnsi="Georgia" w:eastAsia="Georgia"/>
          <w:b w:val="0"/>
          <w:i w:val="0"/>
          <w:sz w:val="21"/>
        </w:rPr>
        <w:t>Provide a reasoned opinion on the trajectory of prediction markets based on current data and regulatory developments, and on what that trajectory means for the long-term viability of Wisconsin tribal sports betting exclusivity.</w:t>
      </w:r>
    </w:p>
    <w:p>
      <w:pPr>
        <w:pStyle w:val="Heading2"/>
      </w:pPr>
      <w:r>
        <w:t>Phase III Deliverables (RFP §8.3.2)</w:t>
      </w:r>
    </w:p>
    <w:p>
      <w:pPr>
        <w:pStyle w:val="ListBullet"/>
      </w:pPr>
      <w:r>
        <w:rPr>
          <w:rFonts w:ascii="Georgia" w:hAnsi="Georgia" w:eastAsia="Georgia"/>
          <w:b w:val="0"/>
          <w:i w:val="0"/>
          <w:sz w:val="21"/>
        </w:rPr>
        <w:t>Written analysis of prediction market impacts on comparable markets.</w:t>
      </w:r>
    </w:p>
    <w:p>
      <w:pPr>
        <w:pStyle w:val="ListBullet"/>
      </w:pPr>
      <w:r>
        <w:rPr>
          <w:rFonts w:ascii="Georgia" w:hAnsi="Georgia" w:eastAsia="Georgia"/>
          <w:b w:val="0"/>
          <w:i w:val="0"/>
          <w:sz w:val="21"/>
        </w:rPr>
        <w:t>Assessment of prediction market risk to Wisconsin tribal sports betting projections.</w:t>
      </w:r>
    </w:p>
    <w:p>
      <w:pPr>
        <w:spacing w:before="80"/>
      </w:pPr>
      <w:r>
        <w:rPr>
          <w:rFonts w:ascii="Georgia" w:hAnsi="Georgia" w:eastAsia="Georgia"/>
          <w:b/>
          <w:i w:val="0"/>
          <w:sz w:val="21"/>
        </w:rPr>
        <w:t xml:space="preserve">Timeline: </w:t>
      </w:r>
      <w:r>
        <w:rPr>
          <w:rFonts w:ascii="Georgia" w:hAnsi="Georgia" w:eastAsia="Georgia"/>
          <w:b w:val="0"/>
          <w:i w:val="0"/>
          <w:sz w:val="21"/>
        </w:rPr>
        <w:t>Completed within 60 days of contract signing.</w:t>
      </w:r>
    </w:p>
    <w:p>
      <w:pPr>
        <w:pStyle w:val="Heading1"/>
        <w:pBdr>
          <w:bottom w:val="single" w:sz="8" w:space="4" w:color="D9D9D9"/>
        </w:pBdr>
      </w:pPr>
      <w:r>
        <w:t>F. Financial Proposal (RFP §8.4)</w:t>
      </w:r>
    </w:p>
    <w:p>
      <w:r>
        <w:rPr>
          <w:rFonts w:ascii="Georgia" w:hAnsi="Georgia" w:eastAsia="Georgia"/>
          <w:b w:val="0"/>
          <w:i w:val="0"/>
          <w:sz w:val="21"/>
        </w:rPr>
        <w:t>Per the RFP, respondents must provide a detailed fee schedule including:</w:t>
      </w:r>
    </w:p>
    <w:p>
      <w:pPr>
        <w:pStyle w:val="ListBullet"/>
      </w:pPr>
      <w:r>
        <w:rPr>
          <w:rFonts w:ascii="Georgia" w:hAnsi="Georgia" w:eastAsia="Georgia"/>
          <w:b w:val="0"/>
          <w:i w:val="0"/>
          <w:sz w:val="21"/>
        </w:rPr>
        <w:t>Estimated hours by staff level, with hourly rates and total cost.</w:t>
      </w:r>
    </w:p>
    <w:p>
      <w:pPr>
        <w:pStyle w:val="ListBullet"/>
      </w:pPr>
      <w:r>
        <w:rPr>
          <w:rFonts w:ascii="Georgia" w:hAnsi="Georgia" w:eastAsia="Georgia"/>
          <w:b w:val="0"/>
          <w:i w:val="0"/>
          <w:sz w:val="21"/>
        </w:rPr>
        <w:t>Out-of-pocket expenses, including a not-to-exceed estimate for travel and other reimbursements.</w:t>
      </w:r>
    </w:p>
    <w:p>
      <w:pPr>
        <w:pStyle w:val="ListBullet"/>
      </w:pPr>
      <w:r>
        <w:rPr>
          <w:rFonts w:ascii="Georgia" w:hAnsi="Georgia" w:eastAsia="Georgia"/>
          <w:b w:val="0"/>
          <w:i w:val="0"/>
          <w:sz w:val="21"/>
        </w:rPr>
        <w:t>Any discounts offered.</w:t>
      </w:r>
    </w:p>
    <w:p>
      <w:pPr>
        <w:pStyle w:val="ListBullet"/>
      </w:pPr>
      <w:r>
        <w:rPr>
          <w:rFonts w:ascii="Georgia" w:hAnsi="Georgia" w:eastAsia="Georgia"/>
          <w:b w:val="0"/>
          <w:i w:val="0"/>
          <w:sz w:val="21"/>
        </w:rPr>
        <w:t>Pricing for each phase individually and for all three phases as a combined engagement.</w:t>
      </w:r>
    </w:p>
    <w:p>
      <w:r>
        <w:rPr>
          <w:rFonts w:ascii="Georgia" w:hAnsi="Georgia" w:eastAsia="Georgia"/>
          <w:b w:val="0"/>
          <w:i w:val="0"/>
          <w:sz w:val="21"/>
        </w:rPr>
        <w:t>Because the three phases share data, models, and project management, our fee schedule will include an explicit discount for engaging all three phases as a combined engagement, presented alongside per-phase pricing.</w:t>
      </w:r>
    </w:p>
    <w:p>
      <w:r>
        <w:rPr>
          <w:rFonts w:ascii="Georgia" w:hAnsi="Georgia" w:eastAsia="Georgia"/>
          <w:b w:val="0"/>
          <w:i/>
          <w:sz w:val="21"/>
        </w:rPr>
        <w:t>[Fee schedule to be provided.]</w:t>
      </w:r>
    </w:p>
    <w:p>
      <w:pPr>
        <w:pStyle w:val="Heading1"/>
        <w:pBdr>
          <w:bottom w:val="single" w:sz="8" w:space="4" w:color="D9D9D9"/>
        </w:pBdr>
      </w:pPr>
      <w:r>
        <w:t>G. Key Questions the Report Must Answer (RFP §9)</w:t>
      </w:r>
    </w:p>
    <w:p>
      <w:r>
        <w:rPr>
          <w:rFonts w:ascii="Georgia" w:hAnsi="Georgia" w:eastAsia="Georgia"/>
          <w:b w:val="0"/>
          <w:i w:val="0"/>
          <w:sz w:val="21"/>
        </w:rPr>
        <w:t>The RFP requires the final report to provide a documented, evidence-based response to each of the following questions, stating explicitly where information is missing from either model. The table below restates each question and identifies where our proposed scope addresses it.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184"/>
        <w:gridCol w:w="4896"/>
      </w:tblGrid>
      <w:tr>
        <w:trPr>
          <w:tblHeader w:val="true"/>
        </w:trPr>
        <w:tc>
          <w:tcPr>
            <w:tcW w:type="dxa" w:w="5184"/>
            <w:shd w:val="clear" w:fill="C42127"/>
          </w:tcPr>
          <w:p>
            <w:pPr>
              <w:spacing w:after="40"/>
            </w:pPr>
            <w:r>
              <w:rPr>
                <w:rFonts w:ascii="Calibri" w:hAnsi="Calibri" w:eastAsia="Calibri"/>
                <w:b/>
                <w:i w:val="0"/>
                <w:color w:val="FFFFFF"/>
                <w:sz w:val="20"/>
              </w:rPr>
              <w:t>RFP Question</w:t>
            </w:r>
          </w:p>
        </w:tc>
        <w:tc>
          <w:tcPr>
            <w:tcW w:type="dxa" w:w="4896"/>
            <w:shd w:val="clear" w:fill="C42127"/>
          </w:tcPr>
          <w:p>
            <w:pPr>
              <w:spacing w:after="40"/>
            </w:pPr>
            <w:r>
              <w:rPr>
                <w:rFonts w:ascii="Calibri" w:hAnsi="Calibri" w:eastAsia="Calibri"/>
                <w:b/>
                <w:i w:val="0"/>
                <w:color w:val="FFFFFF"/>
                <w:sz w:val="20"/>
              </w:rPr>
              <w:t>Where Addressed</w:t>
            </w:r>
          </w:p>
        </w:tc>
      </w:tr>
      <w:tr>
        <w:trPr>
          <w:cantSplit/>
        </w:trPr>
        <w:tc>
          <w:tcPr>
            <w:tcW w:type="dxa" w:w="5184"/>
          </w:tcPr>
          <w:p>
            <w:pPr>
              <w:spacing w:after="40"/>
            </w:pPr>
            <w:r>
              <w:rPr>
                <w:rFonts w:ascii="Georgia" w:hAnsi="Georgia" w:eastAsia="Georgia"/>
                <w:b w:val="0"/>
                <w:i w:val="0"/>
                <w:sz w:val="19"/>
              </w:rPr>
              <w:t>Is the Wisconsin market size projection appropriate — conservative, reasonable, or aggressive — relative to comparable states?</w:t>
            </w:r>
          </w:p>
        </w:tc>
        <w:tc>
          <w:tcPr>
            <w:tcW w:type="dxa" w:w="4896"/>
          </w:tcPr>
          <w:p>
            <w:pPr>
              <w:spacing w:after="40"/>
            </w:pPr>
            <w:r>
              <w:rPr>
                <w:rFonts w:ascii="Georgia" w:hAnsi="Georgia" w:eastAsia="Georgia"/>
                <w:b w:val="0"/>
                <w:i w:val="0"/>
                <w:sz w:val="19"/>
              </w:rPr>
              <w:t>Phase I (Section B): independent market model benchmarked on revenue per adult in comparable states, with sensitivity analysis.</w:t>
            </w:r>
          </w:p>
        </w:tc>
      </w:tr>
      <w:tr>
        <w:trPr>
          <w:cantSplit/>
        </w:trPr>
        <w:tc>
          <w:tcPr>
            <w:tcW w:type="dxa" w:w="5184"/>
          </w:tcPr>
          <w:p>
            <w:pPr>
              <w:spacing w:after="40"/>
            </w:pPr>
            <w:r>
              <w:rPr>
                <w:rFonts w:ascii="Georgia" w:hAnsi="Georgia" w:eastAsia="Georgia"/>
                <w:b w:val="0"/>
                <w:i w:val="0"/>
                <w:sz w:val="19"/>
              </w:rPr>
              <w:t>Is the tribal exclusivity discount supported by comparable markets, and is the phase-down schedule consistent with observed market maturation?</w:t>
            </w:r>
          </w:p>
        </w:tc>
        <w:tc>
          <w:tcPr>
            <w:tcW w:type="dxa" w:w="4896"/>
          </w:tcPr>
          <w:p>
            <w:pPr>
              <w:spacing w:after="40"/>
            </w:pPr>
            <w:r>
              <w:rPr>
                <w:rFonts w:ascii="Georgia" w:hAnsi="Georgia" w:eastAsia="Georgia"/>
                <w:b w:val="0"/>
                <w:i w:val="0"/>
                <w:sz w:val="19"/>
              </w:rPr>
              <w:t>Phase I (Section B): hub-and-spoke exclusivity discount benchmarked against commercial OSB states, tested at multiple discount levels.</w:t>
            </w:r>
          </w:p>
        </w:tc>
      </w:tr>
      <w:tr>
        <w:trPr>
          <w:cantSplit/>
        </w:trPr>
        <w:tc>
          <w:tcPr>
            <w:tcW w:type="dxa" w:w="5184"/>
          </w:tcPr>
          <w:p>
            <w:pPr>
              <w:spacing w:after="40"/>
            </w:pPr>
            <w:r>
              <w:rPr>
                <w:rFonts w:ascii="Georgia" w:hAnsi="Georgia" w:eastAsia="Georgia"/>
                <w:b w:val="0"/>
                <w:i w:val="0"/>
                <w:sz w:val="19"/>
              </w:rPr>
              <w:t>How does the number of operators in the market affect total handle and GGR per adult in comparable U.S. sports betting markets?</w:t>
            </w:r>
          </w:p>
        </w:tc>
        <w:tc>
          <w:tcPr>
            <w:tcW w:type="dxa" w:w="4896"/>
          </w:tcPr>
          <w:p>
            <w:pPr>
              <w:spacing w:after="40"/>
            </w:pPr>
            <w:r>
              <w:rPr>
                <w:rFonts w:ascii="Georgia" w:hAnsi="Georgia" w:eastAsia="Georgia"/>
                <w:b w:val="0"/>
                <w:i w:val="0"/>
                <w:sz w:val="19"/>
              </w:rPr>
              <w:t>Phases I and II (Sections B and C): comparable-state RPA analysis and evaluation of multiple apps under one operator.</w:t>
            </w:r>
          </w:p>
        </w:tc>
      </w:tr>
      <w:tr>
        <w:trPr>
          <w:cantSplit/>
        </w:trPr>
        <w:tc>
          <w:tcPr>
            <w:tcW w:type="dxa" w:w="5184"/>
          </w:tcPr>
          <w:p>
            <w:pPr>
              <w:spacing w:after="40"/>
            </w:pPr>
            <w:r>
              <w:rPr>
                <w:rFonts w:ascii="Georgia" w:hAnsi="Georgia" w:eastAsia="Georgia"/>
                <w:b w:val="0"/>
                <w:i w:val="0"/>
                <w:sz w:val="19"/>
              </w:rPr>
              <w:t>What are the financial implications of each potential brand structure?</w:t>
            </w:r>
          </w:p>
        </w:tc>
        <w:tc>
          <w:tcPr>
            <w:tcW w:type="dxa" w:w="4896"/>
          </w:tcPr>
          <w:p>
            <w:pPr>
              <w:spacing w:after="40"/>
            </w:pPr>
            <w:r>
              <w:rPr>
                <w:rFonts w:ascii="Georgia" w:hAnsi="Georgia" w:eastAsia="Georgia"/>
                <w:b w:val="0"/>
                <w:i w:val="0"/>
                <w:sz w:val="19"/>
              </w:rPr>
              <w:t>Phase II (Section C): three-scenario brand analysis compared financially to the B2B model.</w:t>
            </w:r>
          </w:p>
        </w:tc>
      </w:tr>
      <w:tr>
        <w:trPr>
          <w:cantSplit/>
        </w:trPr>
        <w:tc>
          <w:tcPr>
            <w:tcW w:type="dxa" w:w="5184"/>
          </w:tcPr>
          <w:p>
            <w:pPr>
              <w:spacing w:after="40"/>
            </w:pPr>
            <w:r>
              <w:rPr>
                <w:rFonts w:ascii="Georgia" w:hAnsi="Georgia" w:eastAsia="Georgia"/>
                <w:b w:val="0"/>
                <w:i w:val="0"/>
                <w:sz w:val="19"/>
              </w:rPr>
              <w:t>How are prediction markets currently impacting licensed sports betting revenue in comparable states, and what does that mean for Wisconsin tribal projections?</w:t>
            </w:r>
          </w:p>
        </w:tc>
        <w:tc>
          <w:tcPr>
            <w:tcW w:type="dxa" w:w="4896"/>
          </w:tcPr>
          <w:p>
            <w:pPr>
              <w:spacing w:after="40"/>
            </w:pPr>
            <w:r>
              <w:rPr>
                <w:rFonts w:ascii="Georgia" w:hAnsi="Georgia" w:eastAsia="Georgia"/>
                <w:b w:val="0"/>
                <w:i w:val="0"/>
                <w:sz w:val="19"/>
              </w:rPr>
              <w:t>Phase III (Section E): prediction market analysis and risk assessment.</w:t>
            </w:r>
          </w:p>
        </w:tc>
      </w:tr>
    </w:tbl>
    <w:p>
      <w:pPr>
        <w:pStyle w:val="Heading1"/>
        <w:pageBreakBefore/>
        <w:pBdr>
          <w:bottom w:val="single" w:sz="8" w:space="4" w:color="D9D9D9"/>
        </w:pBdr>
      </w:pPr>
      <w:r>
        <w:t>H. Summary</w:t>
      </w:r>
    </w:p>
    <w:p>
      <w:r>
        <w:rPr>
          <w:rFonts w:ascii="Georgia" w:hAnsi="Georgia" w:eastAsia="Georgia"/>
          <w:b w:val="0"/>
          <w:i w:val="0"/>
          <w:sz w:val="21"/>
        </w:rPr>
        <w:t>The Working Group's task is to choose between competing models with confidence. What Victor-Strategies offers is a record the Working Group can verify rather than take on faith: more than 25,000 sports bettors interviewed since the repeal of PASPA; research engagements in more than thirty U.S. states; a three-year engagement with the Choctaw Nation of Oklahoma that mirrors this scope; a public Indiana forecast that actual market results have since confirmed as sound and conservative; the industry's leading analyst of prediction markets; an economic modeling platform purpose-built for gaming, backed by more than 165 engagements since 2005; and no relationships with any party to this decision.</w:t>
      </w:r>
    </w:p>
    <w:p>
      <w:r>
        <w:rPr>
          <w:rFonts w:ascii="Georgia" w:hAnsi="Georgia" w:eastAsia="Georgia"/>
          <w:b w:val="0"/>
          <w:i w:val="0"/>
          <w:sz w:val="21"/>
        </w:rPr>
        <w:t>Behind that record is the team detailed in the next section: Victor Rocha, who has been educating Indian Country about new gaming technology for more than 30 years; Gene Johnson, involved in interactive wagering development since the 1990s; Jay Sarno, a widely respected analyst with deep casino management and finance experience; Dustin Gouker on prediction markets; Alfonso Straffon on sports betting data and revenue modeling; and Kahlil Philander, among the most widely published economists in the global gaming industry.</w:t>
      </w:r>
    </w:p>
    <w:p>
      <w:r>
        <w:rPr>
          <w:rFonts w:ascii="Georgia" w:hAnsi="Georgia" w:eastAsia="Georgia"/>
          <w:b w:val="0"/>
          <w:i w:val="0"/>
          <w:sz w:val="21"/>
        </w:rPr>
        <w:t>We appreciate the opportunity to submit this proposal and look forward to answering any questions you may have. Thank you.</w:t>
      </w:r>
    </w:p>
    <w:p>
      <w:pPr>
        <w:pStyle w:val="Heading1"/>
        <w:pBdr>
          <w:bottom w:val="single" w:sz="8" w:space="4" w:color="D9D9D9"/>
        </w:pBdr>
      </w:pPr>
      <w:r>
        <w:t>I. Our Team</w:t>
      </w:r>
    </w:p>
    <w:p>
      <w:pPr>
        <w:pStyle w:val="Heading2"/>
      </w:pPr>
      <w:r>
        <w:rPr>
          <w:rFonts w:ascii="Calibri" w:hAnsi="Calibri" w:eastAsia="Calibri"/>
          <w:b/>
          <w:i w:val="0"/>
          <w:caps/>
          <w:color w:val="C42127"/>
          <w:sz w:val="26"/>
        </w:rPr>
        <w:t>Gene Johnson</w:t>
      </w:r>
    </w:p>
    <w:p>
      <w:pPr>
        <w:spacing w:after="120"/>
      </w:pPr>
      <w:r>
        <w:rPr>
          <w:rFonts w:ascii="Calibri" w:hAnsi="Calibri" w:eastAsia="Calibri"/>
          <w:b/>
          <w:i/>
          <w:color w:val="6E6E6E"/>
          <w:sz w:val="21"/>
        </w:rPr>
        <w:t>Executive Vice President, Victor-Strategies</w:t>
      </w:r>
    </w:p>
    <w:p>
      <w:r>
        <w:rPr>
          <w:rFonts w:ascii="Georgia" w:hAnsi="Georgia" w:eastAsia="Georgia"/>
          <w:b w:val="0"/>
          <w:i w:val="0"/>
          <w:sz w:val="21"/>
        </w:rPr>
        <w:t>Gene Johnson has more than 30 years of unique experience in the gaming industry, bringing together technology, market research, strategic planning and analysis, and casino marketing — all framed through the lens of the customer. He began working in Atlantic City casinos in 1989 and in 1997 founded EE Johnson Research, a marketing research and consulting firm specializing in the casino industry with a particular focus on gambling motivation and behavior. In 2012 he became a senior executive at an internationally recognized casino gaming consultancy. In 2016 he founded Gaming Knowledge Partners to serve casino gaming clients through an expert network of strategic partners with deep knowledge of gambling behavior, operations, marketing, and property management; later that year he co-founded Victor-Strategies with partners Rob Miller and Victor Rocha.</w:t>
      </w:r>
    </w:p>
    <w:p>
      <w:r>
        <w:rPr>
          <w:rFonts w:ascii="Georgia" w:hAnsi="Georgia" w:eastAsia="Georgia"/>
          <w:b w:val="0"/>
          <w:i w:val="0"/>
          <w:sz w:val="21"/>
        </w:rPr>
        <w:t>With Victor-Strategies, Mr. Johnson extends this expert network globally to provide clients with the highest quality advisory services aimed at improving operations, increasing revenue, and building sustainable economic growth.</w:t>
      </w:r>
    </w:p>
    <w:p>
      <w:r>
        <w:rPr>
          <w:rFonts w:ascii="Georgia" w:hAnsi="Georgia" w:eastAsia="Georgia"/>
          <w:b w:val="0"/>
          <w:i w:val="0"/>
          <w:sz w:val="21"/>
        </w:rPr>
        <w:t>Over his career, Mr. Johnson has managed and conducted numerous qualitative and quantitative studies with gamblers of all types, as well as extensive consumer research for a broad array of corporate, government, and non-profit clients. He has testified before the U.S. Senate, the Federal Trade Commission, and multiple state and tribal governments; has written articles featured in many industry publications; and speaks regularly at major gaming industry conferences on a wide range of subjects.</w:t>
      </w:r>
    </w:p>
    <w:p>
      <w:r>
        <w:rPr>
          <w:rFonts w:ascii="Georgia" w:hAnsi="Georgia" w:eastAsia="Georgia"/>
          <w:b w:val="0"/>
          <w:i w:val="0"/>
          <w:sz w:val="21"/>
        </w:rPr>
        <w:t>Mr. Johnson holds a BA from Washington College in Maryland and an MBA from the University of Phoenix. He has earned Certified Quality Analyst certification from the Quality Assurance Institute and is a member of the American Society for Quality, the American Marketing Association, and the Qualitative Research Consultants Association.</w:t>
      </w:r>
    </w:p>
    <w:p>
      <w:pPr>
        <w:pStyle w:val="Heading2"/>
      </w:pPr>
      <w:r>
        <w:rPr>
          <w:rFonts w:ascii="Calibri" w:hAnsi="Calibri" w:eastAsia="Calibri"/>
          <w:b/>
          <w:i w:val="0"/>
          <w:caps/>
          <w:color w:val="C42127"/>
          <w:sz w:val="26"/>
        </w:rPr>
        <w:t>Victor Rocha</w:t>
      </w:r>
    </w:p>
    <w:p>
      <w:pPr>
        <w:spacing w:after="120"/>
      </w:pPr>
      <w:r>
        <w:rPr>
          <w:rFonts w:ascii="Calibri" w:hAnsi="Calibri" w:eastAsia="Calibri"/>
          <w:b/>
          <w:i/>
          <w:color w:val="6E6E6E"/>
          <w:sz w:val="21"/>
        </w:rPr>
        <w:t>President, Victor-Strategies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520"/>
        <w:gridCol w:w="6840"/>
      </w:tblGrid>
      <w:tr>
        <w:tc>
          <w:tcPr>
            <w:tcW w:type="dxa" w:w="2520"/>
          </w:tcPr>
          <w:p>
            <w:pPr>
              <w:spacing w:after="0"/>
            </w:pPr>
            <w:r>
              <w:drawing>
                <wp:inline xmlns:a="http://schemas.openxmlformats.org/drawingml/2006/main" xmlns:pic="http://schemas.openxmlformats.org/drawingml/2006/picture">
                  <wp:extent cx="1325880" cy="1325880"/>
                  <wp:docPr id="2" name="Picture 2"/>
                  <wp:cNvGraphicFramePr>
                    <a:graphicFrameLocks noChangeAspect="1"/>
                  </wp:cNvGraphicFramePr>
                  <a:graphic>
                    <a:graphicData uri="http://schemas.openxmlformats.org/drawingml/2006/picture">
                      <pic:pic>
                        <pic:nvPicPr>
                          <pic:cNvPr id="0" name="rocha.png"/>
                          <pic:cNvPicPr/>
                        </pic:nvPicPr>
                        <pic:blipFill>
                          <a:blip r:embed="rId20"/>
                          <a:stretch>
                            <a:fillRect/>
                          </a:stretch>
                        </pic:blipFill>
                        <pic:spPr>
                          <a:xfrm>
                            <a:off x="0" y="0"/>
                            <a:ext cx="1325880" cy="1325880"/>
                          </a:xfrm>
                          <a:prstGeom prst="rect"/>
                        </pic:spPr>
                      </pic:pic>
                    </a:graphicData>
                  </a:graphic>
                </wp:inline>
              </w:drawing>
            </w:r>
          </w:p>
        </w:tc>
        <w:tc>
          <w:tcPr>
            <w:tcW w:type="dxa" w:w="6840"/>
          </w:tcPr>
          <w:p>
            <w:pPr>
              <w:spacing w:after="160" w:line="276" w:lineRule="auto"/>
            </w:pPr>
            <w:r>
              <w:rPr>
                <w:rFonts w:ascii="Georgia" w:hAnsi="Georgia" w:eastAsia="Georgia"/>
                <w:b w:val="0"/>
                <w:i w:val="0"/>
                <w:sz w:val="21"/>
              </w:rPr>
              <w:t>Victor Rocha is the president, chief motivator, and inspiration of Victor-Strategies. A respected voice in Indian Country and a frequent contributor to national media publications, Mr. Rocha is a successful Native American Internet entrepreneur with a long-term commitment to bringing information and opportunity to Indian Country. His conferences have received high praise for the quality of their content and speakers, and for bringing political and gaming leaders together with the latest trends and technology. He is a recognized leader in emerging gaming technologies who keeps Indian gaming informed about advances in technology, interactive wagering, and new forms of gambling.</w:t>
            </w:r>
          </w:p>
          <w:p>
            <w:pPr>
              <w:spacing w:after="160" w:line="276" w:lineRule="auto"/>
            </w:pPr>
            <w:r>
              <w:rPr>
                <w:rFonts w:ascii="Georgia" w:hAnsi="Georgia" w:eastAsia="Georgia"/>
                <w:b w:val="0"/>
                <w:i w:val="0"/>
                <w:sz w:val="21"/>
              </w:rPr>
              <w:t>Mr. Rocha is also the owner and editor of Pechanga.net, the premier source of news and information on Indian gaming. Involved in the politics of Indian gaming since 1998, he has earned numerous awards for his work, including the National Indian Gaming Association's 2002 Outstanding Contribution to Indian Country, VCAT's 2001 Catalyst Award, Global Gaming Business Magazine's “40 Under 40,” Raving's 2012 Casino Marketing Lifetime Achievement Award, and the AGA's Lifetime Achievement Award for Gaming Marketing. He currently serves as Conference Chair for the National Indian Gaming Association's annual Indian Gaming Tradeshow and Mid-Year Conference.</w:t>
            </w:r>
          </w:p>
        </w:tc>
      </w:tr>
    </w:tbl>
    <w:p>
      <w:pPr>
        <w:spacing w:after="40"/>
      </w:pPr>
    </w:p>
    <w:p>
      <w:pPr>
        <w:pStyle w:val="Heading2"/>
      </w:pPr>
      <w:r>
        <w:rPr>
          <w:rFonts w:ascii="Calibri" w:hAnsi="Calibri" w:eastAsia="Calibri"/>
          <w:b/>
          <w:i w:val="0"/>
          <w:caps/>
          <w:color w:val="C42127"/>
          <w:sz w:val="26"/>
        </w:rPr>
        <w:t>Jay Sarno</w:t>
      </w:r>
    </w:p>
    <w:p>
      <w:pPr>
        <w:spacing w:after="120"/>
      </w:pPr>
      <w:r>
        <w:rPr>
          <w:rFonts w:ascii="Calibri" w:hAnsi="Calibri" w:eastAsia="Calibri"/>
          <w:b/>
          <w:i/>
          <w:color w:val="6E6E6E"/>
          <w:sz w:val="21"/>
        </w:rPr>
        <w:t>Strategic Partner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520"/>
        <w:gridCol w:w="6840"/>
      </w:tblGrid>
      <w:tr>
        <w:tc>
          <w:tcPr>
            <w:tcW w:type="dxa" w:w="2520"/>
          </w:tcPr>
          <w:p>
            <w:pPr>
              <w:spacing w:after="0"/>
            </w:pPr>
            <w:r>
              <w:drawing>
                <wp:inline xmlns:a="http://schemas.openxmlformats.org/drawingml/2006/main" xmlns:pic="http://schemas.openxmlformats.org/drawingml/2006/picture">
                  <wp:extent cx="1325880" cy="1856232"/>
                  <wp:docPr id="3" name="Picture 3"/>
                  <wp:cNvGraphicFramePr>
                    <a:graphicFrameLocks noChangeAspect="1"/>
                  </wp:cNvGraphicFramePr>
                  <a:graphic>
                    <a:graphicData uri="http://schemas.openxmlformats.org/drawingml/2006/picture">
                      <pic:pic>
                        <pic:nvPicPr>
                          <pic:cNvPr id="0" name="sarno.jpg"/>
                          <pic:cNvPicPr/>
                        </pic:nvPicPr>
                        <pic:blipFill>
                          <a:blip r:embed="rId21"/>
                          <a:stretch>
                            <a:fillRect/>
                          </a:stretch>
                        </pic:blipFill>
                        <pic:spPr>
                          <a:xfrm>
                            <a:off x="0" y="0"/>
                            <a:ext cx="1325880" cy="1856232"/>
                          </a:xfrm>
                          <a:prstGeom prst="rect"/>
                        </pic:spPr>
                      </pic:pic>
                    </a:graphicData>
                  </a:graphic>
                </wp:inline>
              </w:drawing>
            </w:r>
          </w:p>
        </w:tc>
        <w:tc>
          <w:tcPr>
            <w:tcW w:type="dxa" w:w="6840"/>
          </w:tcPr>
          <w:p>
            <w:pPr>
              <w:spacing w:after="160" w:line="276" w:lineRule="auto"/>
            </w:pPr>
            <w:r>
              <w:rPr>
                <w:rFonts w:ascii="Georgia" w:hAnsi="Georgia" w:eastAsia="Georgia"/>
                <w:b w:val="0"/>
                <w:i w:val="0"/>
                <w:sz w:val="21"/>
              </w:rPr>
              <w:t>Jay Sarno is a Victor-Strategies strategic partner widely known in the gaming industry for his analytical skills — building rigorous quantitative models, streamlining processes, and providing solutions that answer a wide range of client needs.</w:t>
            </w:r>
          </w:p>
          <w:p>
            <w:pPr>
              <w:spacing w:after="160" w:line="276" w:lineRule="auto"/>
            </w:pPr>
            <w:r>
              <w:rPr>
                <w:rFonts w:ascii="Georgia" w:hAnsi="Georgia" w:eastAsia="Georgia"/>
                <w:b w:val="0"/>
                <w:i w:val="0"/>
                <w:sz w:val="21"/>
              </w:rPr>
              <w:t>A twenty-five-year business veteran, Jay has broad practical expertise across operational and applied areas including traditional corporate finance, off-Wall Street capital management and investment analysis, sales management, compliance, business intelligence software development, and statistical analysis. He has conducted feasibility studies in the Midwest and market analyses of the Iowa regional gaming market.</w:t>
            </w:r>
          </w:p>
          <w:p>
            <w:pPr>
              <w:spacing w:after="160" w:line="276" w:lineRule="auto"/>
            </w:pPr>
            <w:r>
              <w:rPr>
                <w:rFonts w:ascii="Georgia" w:hAnsi="Georgia" w:eastAsia="Georgia"/>
                <w:b w:val="0"/>
                <w:i w:val="0"/>
                <w:sz w:val="21"/>
              </w:rPr>
              <w:t>Jay has held positions ranging from Vice President of Business Development and Corporate Compliance Officer to Assistant Casino General Manager and Financial Officer, with experience at Advanced Casino Systems, Hollywood Casino Corporation, the Sands Casino in Atlantic City, and the Golden Nugget Casino/Resort in Las Vegas.</w:t>
            </w:r>
          </w:p>
          <w:p>
            <w:pPr>
              <w:spacing w:after="160" w:line="276" w:lineRule="auto"/>
            </w:pPr>
            <w:r>
              <w:rPr>
                <w:rFonts w:ascii="Georgia" w:hAnsi="Georgia" w:eastAsia="Georgia"/>
                <w:b w:val="0"/>
                <w:i w:val="0"/>
                <w:sz w:val="21"/>
              </w:rPr>
              <w:t>Jay received his BS in Finance from the University of Nevada, Las Vegas and his MBA from Sacred Heart University in Connecticut. He has taught undergraduate- and graduate-level business coursework in the School of Professional Studies at Stockton University in New Jersey.</w:t>
            </w:r>
          </w:p>
        </w:tc>
      </w:tr>
    </w:tbl>
    <w:p>
      <w:pPr>
        <w:spacing w:after="40"/>
      </w:pPr>
    </w:p>
    <w:p>
      <w:pPr>
        <w:pStyle w:val="Heading2"/>
      </w:pPr>
      <w:r>
        <w:rPr>
          <w:rFonts w:ascii="Calibri" w:hAnsi="Calibri" w:eastAsia="Calibri"/>
          <w:b/>
          <w:i w:val="0"/>
          <w:caps/>
          <w:color w:val="C42127"/>
          <w:sz w:val="26"/>
        </w:rPr>
        <w:t>Dustin Gouker</w:t>
      </w:r>
    </w:p>
    <w:p>
      <w:pPr>
        <w:spacing w:after="120"/>
      </w:pPr>
      <w:r>
        <w:rPr>
          <w:rFonts w:ascii="Calibri" w:hAnsi="Calibri" w:eastAsia="Calibri"/>
          <w:b/>
          <w:i/>
          <w:color w:val="6E6E6E"/>
          <w:sz w:val="21"/>
        </w:rPr>
        <w:t>Strategic Partner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520"/>
        <w:gridCol w:w="6840"/>
      </w:tblGrid>
      <w:tr>
        <w:tc>
          <w:tcPr>
            <w:tcW w:type="dxa" w:w="2520"/>
          </w:tcPr>
          <w:p>
            <w:pPr>
              <w:spacing w:after="0"/>
            </w:pPr>
            <w:r>
              <w:drawing>
                <wp:inline xmlns:a="http://schemas.openxmlformats.org/drawingml/2006/main" xmlns:pic="http://schemas.openxmlformats.org/drawingml/2006/picture">
                  <wp:extent cx="1325880" cy="1887142"/>
                  <wp:docPr id="4" name="Picture 4"/>
                  <wp:cNvGraphicFramePr>
                    <a:graphicFrameLocks noChangeAspect="1"/>
                  </wp:cNvGraphicFramePr>
                  <a:graphic>
                    <a:graphicData uri="http://schemas.openxmlformats.org/drawingml/2006/picture">
                      <pic:pic>
                        <pic:nvPicPr>
                          <pic:cNvPr id="0" name="gouker.jpg"/>
                          <pic:cNvPicPr/>
                        </pic:nvPicPr>
                        <pic:blipFill>
                          <a:blip r:embed="rId22"/>
                          <a:stretch>
                            <a:fillRect/>
                          </a:stretch>
                        </pic:blipFill>
                        <pic:spPr>
                          <a:xfrm>
                            <a:off x="0" y="0"/>
                            <a:ext cx="1325880" cy="1887142"/>
                          </a:xfrm>
                          <a:prstGeom prst="rect"/>
                        </pic:spPr>
                      </pic:pic>
                    </a:graphicData>
                  </a:graphic>
                </wp:inline>
              </w:drawing>
            </w:r>
          </w:p>
        </w:tc>
        <w:tc>
          <w:tcPr>
            <w:tcW w:type="dxa" w:w="6840"/>
          </w:tcPr>
          <w:p>
            <w:pPr>
              <w:spacing w:after="160" w:line="276" w:lineRule="auto"/>
            </w:pPr>
            <w:r>
              <w:rPr>
                <w:rFonts w:ascii="Georgia" w:hAnsi="Georgia" w:eastAsia="Georgia"/>
                <w:b w:val="0"/>
                <w:i w:val="0"/>
                <w:sz w:val="21"/>
              </w:rPr>
              <w:t>Dustin Gouker has been in the gambling industry in one way or another for two decades, beginning with playing poker and creating poker content. He spent much of his early career as a newspaper writer and editor before joining a startup in 2015 to lead the Legal Sports Report blog in its early days covering the daily fantasy sports industry. From there he helped build LSR into the go-to source of information on the sports betting industry — along with a network of other gambling content sites that became leaders in the space. The startup was acquired in 2017 by Catena Media, where Dustin became head of content and eventually a vice president for North America.</w:t>
            </w:r>
          </w:p>
          <w:p>
            <w:pPr>
              <w:spacing w:after="160" w:line="276" w:lineRule="auto"/>
            </w:pPr>
            <w:r>
              <w:rPr>
                <w:rFonts w:ascii="Georgia" w:hAnsi="Georgia" w:eastAsia="Georgia"/>
                <w:b w:val="0"/>
                <w:i w:val="0"/>
                <w:sz w:val="21"/>
              </w:rPr>
              <w:t>He left that role at the start of 2023 and now offers consulting services through Closing Line Consulting and publishes two newsletters, The Closing Line and The Event Horizon, reaching nearly 1,500 subscribers. Dustin has been cited over the years by numerous media outlets, including The Washington Post, ESPN, Yahoo Finance, and Axios.</w:t>
            </w:r>
          </w:p>
        </w:tc>
      </w:tr>
    </w:tbl>
    <w:p>
      <w:pPr>
        <w:spacing w:after="40"/>
      </w:pPr>
    </w:p>
    <w:p>
      <w:pPr>
        <w:pStyle w:val="Heading2"/>
      </w:pPr>
      <w:r>
        <w:rPr>
          <w:rFonts w:ascii="Calibri" w:hAnsi="Calibri" w:eastAsia="Calibri"/>
          <w:b/>
          <w:i w:val="0"/>
          <w:caps/>
          <w:color w:val="C42127"/>
          <w:sz w:val="26"/>
        </w:rPr>
        <w:t>Alfonso Straffon</w:t>
      </w:r>
    </w:p>
    <w:p>
      <w:pPr>
        <w:spacing w:after="120"/>
      </w:pPr>
      <w:r>
        <w:rPr>
          <w:rFonts w:ascii="Calibri" w:hAnsi="Calibri" w:eastAsia="Calibri"/>
          <w:b/>
          <w:i/>
          <w:color w:val="6E6E6E"/>
          <w:sz w:val="21"/>
        </w:rPr>
        <w:t>Strategic Partner</w:t>
      </w:r>
    </w:p>
    <w:p>
      <w:r>
        <w:rPr>
          <w:rFonts w:ascii="Georgia" w:hAnsi="Georgia" w:eastAsia="Georgia"/>
          <w:b w:val="0"/>
          <w:i w:val="0"/>
          <w:sz w:val="21"/>
        </w:rPr>
        <w:t>Alfonso brings a unique mix of relevant experience to the project. He began his career in the sports betting industry in his native Costa Rica, where he worked in risk management and trading for eight years. In 2008 he left the industry to pursue a career in investment management, primarily in roles as a bond trader and research analyst. In 2018, following the repeal of PASPA, he began offering his services as an independent consultant and is regarded as a highly reliable source of data and industry analytics.</w:t>
      </w:r>
    </w:p>
    <w:p>
      <w:r>
        <w:rPr>
          <w:rFonts w:ascii="Georgia" w:hAnsi="Georgia" w:eastAsia="Georgia"/>
          <w:b w:val="0"/>
          <w:i w:val="0"/>
          <w:sz w:val="21"/>
        </w:rPr>
        <w:t>He holds a Bachelor's degree in Business Administration from the University of Costa Rica and an MBA from Wake Forest University, and is currently pursuing a Master's in Statistics at NC State University. He speaks fluent English and Spanish.</w:t>
      </w:r>
    </w:p>
    <w:p>
      <w:pPr>
        <w:pStyle w:val="Heading2"/>
      </w:pPr>
      <w:r>
        <w:rPr>
          <w:rFonts w:ascii="Calibri" w:hAnsi="Calibri" w:eastAsia="Calibri"/>
          <w:b/>
          <w:i w:val="0"/>
          <w:caps/>
          <w:color w:val="C42127"/>
          <w:sz w:val="26"/>
        </w:rPr>
        <w:t>Kahlil Philander, PhD</w:t>
      </w:r>
    </w:p>
    <w:p>
      <w:pPr>
        <w:spacing w:after="120"/>
      </w:pPr>
      <w:r>
        <w:rPr>
          <w:rFonts w:ascii="Calibri" w:hAnsi="Calibri" w:eastAsia="Calibri"/>
          <w:b/>
          <w:i/>
          <w:color w:val="6E6E6E"/>
          <w:sz w:val="21"/>
        </w:rPr>
        <w:t>Lead Economist — GP Consulting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520"/>
        <w:gridCol w:w="6840"/>
      </w:tblGrid>
      <w:tr>
        <w:tc>
          <w:tcPr>
            <w:tcW w:type="dxa" w:w="2520"/>
          </w:tcPr>
          <w:p>
            <w:pPr>
              <w:spacing w:after="0"/>
            </w:pPr>
            <w:r>
              <w:drawing>
                <wp:inline xmlns:a="http://schemas.openxmlformats.org/drawingml/2006/main" xmlns:pic="http://schemas.openxmlformats.org/drawingml/2006/picture">
                  <wp:extent cx="1325880" cy="1325880"/>
                  <wp:docPr id="5" name="Picture 5"/>
                  <wp:cNvGraphicFramePr>
                    <a:graphicFrameLocks noChangeAspect="1"/>
                  </wp:cNvGraphicFramePr>
                  <a:graphic>
                    <a:graphicData uri="http://schemas.openxmlformats.org/drawingml/2006/picture">
                      <pic:pic>
                        <pic:nvPicPr>
                          <pic:cNvPr id="0" name="philander.jpg"/>
                          <pic:cNvPicPr/>
                        </pic:nvPicPr>
                        <pic:blipFill>
                          <a:blip r:embed="rId23"/>
                          <a:stretch>
                            <a:fillRect/>
                          </a:stretch>
                        </pic:blipFill>
                        <pic:spPr>
                          <a:xfrm>
                            <a:off x="0" y="0"/>
                            <a:ext cx="1325880" cy="1325880"/>
                          </a:xfrm>
                          <a:prstGeom prst="rect"/>
                        </pic:spPr>
                      </pic:pic>
                    </a:graphicData>
                  </a:graphic>
                </wp:inline>
              </w:drawing>
            </w:r>
          </w:p>
        </w:tc>
        <w:tc>
          <w:tcPr>
            <w:tcW w:type="dxa" w:w="6840"/>
          </w:tcPr>
          <w:p>
            <w:pPr>
              <w:spacing w:after="160" w:line="276" w:lineRule="auto"/>
            </w:pPr>
            <w:r>
              <w:rPr>
                <w:rFonts w:ascii="Georgia" w:hAnsi="Georgia" w:eastAsia="Georgia"/>
                <w:b w:val="0"/>
                <w:i w:val="0"/>
                <w:sz w:val="21"/>
              </w:rPr>
              <w:t>Dr. Kahlil Philander is an economist and gaming researcher specializing in the analysis of large-scale economic development initiatives, regulatory policy, and consumer behavior in the gaming industry. He is a tenured Associate Professor at Washington State University's Carson College of Business and holds an honorary appointment in the School of Psychology at the University of Sydney. With nearly 20 years of applied research experience across academia, industry, and government, he offers a distinctive blend of technical expertise and policy insight, particularly in contexts involving tourism, entertainment, and community impact.</w:t>
            </w:r>
          </w:p>
          <w:p>
            <w:pPr>
              <w:spacing w:after="160" w:line="276" w:lineRule="auto"/>
            </w:pPr>
            <w:r>
              <w:rPr>
                <w:rFonts w:ascii="Georgia" w:hAnsi="Georgia" w:eastAsia="Georgia"/>
                <w:b w:val="0"/>
                <w:i w:val="0"/>
                <w:sz w:val="21"/>
              </w:rPr>
              <w:t>His research spans regional economic forecasting, taxation policy, and the socioeconomic outcomes of the gaming industry, and has been funded by government agencies and private-sector clients. Across more than 165 consulting engagements since 2005, Dr. Philander has led economic impact, market, and fiscal analyses of gaming for state, tribal, and national governments and for major operators. He previously served as Director of Social Responsibility at the British Columbia Lottery Corporation, where he oversaw the GameSense program, and as Director of Research at the University of Nevada, Las Vegas International Gaming Institute. In those roles he collaborated with stakeholders ranging from legislators and municipal planners to health officials and corporate executives to evaluate the economic, social, and regulatory implications of major capital projects.</w:t>
            </w:r>
          </w:p>
          <w:p>
            <w:pPr>
              <w:spacing w:after="160" w:line="276" w:lineRule="auto"/>
            </w:pPr>
            <w:r>
              <w:rPr>
                <w:rFonts w:ascii="Georgia" w:hAnsi="Georgia" w:eastAsia="Georgia"/>
                <w:b w:val="0"/>
                <w:i w:val="0"/>
                <w:sz w:val="21"/>
              </w:rPr>
              <w:t>Dr. Philander holds a PhD in Hospitality Administration from the University of Nevada, Las Vegas, with a dissertation on the economic impact of casino tax policy; an MA in Economics from the University of Toronto; and a BCom (Honors) in Finance and Economics from the University of British Columbia. His portfolio includes more than 40 peer-reviewed publications in top-tier journals such as the Journal of Policy Modeling, the Journal of Gambling Studies, and Tourism Management, alongside numerous industry reports. He has provided expert testimony to governmental bodies and consulted for major gaming companies and governments on economic modeling and policy strategy; his commentary has been featured by CNBC, the Financial Times, and Wired.</w:t>
            </w:r>
          </w:p>
        </w:tc>
      </w:tr>
    </w:tbl>
    <w:p>
      <w:pPr>
        <w:spacing w:after="40"/>
      </w:pPr>
    </w:p>
    <w:p>
      <w:pPr>
        <w:pStyle w:val="Heading3"/>
      </w:pPr>
      <w:r>
        <w:t>Notable Works</w:t>
      </w:r>
    </w:p>
    <w:p>
      <w:pPr>
        <w:pStyle w:val="ListBullet"/>
      </w:pPr>
      <w:r>
        <w:rPr>
          <w:rFonts w:ascii="Georgia" w:hAnsi="Georgia" w:eastAsia="Georgia"/>
          <w:b w:val="0"/>
          <w:i w:val="0"/>
          <w:sz w:val="21"/>
        </w:rPr>
        <w:t>Philander, K., Abarbanel, B., &amp; Repetti, T. (2015). Consumer spending in the gaming industry: Evidence of complementary demand in casino and online venues. International Gambling Studies.</w:t>
      </w:r>
    </w:p>
    <w:p>
      <w:pPr>
        <w:pStyle w:val="ListBullet"/>
      </w:pPr>
      <w:r>
        <w:rPr>
          <w:rFonts w:ascii="Georgia" w:hAnsi="Georgia" w:eastAsia="Georgia"/>
          <w:b w:val="0"/>
          <w:i w:val="0"/>
          <w:sz w:val="21"/>
        </w:rPr>
        <w:t>Philander, K., Wimmer, B., Bernhard, B., &amp; Singh, A. U.S. casino revenue taxes and short-run labor outcomes. Journal of Policy Modeling.</w:t>
      </w:r>
    </w:p>
    <w:p>
      <w:pPr>
        <w:pStyle w:val="ListBullet"/>
      </w:pPr>
      <w:r>
        <w:rPr>
          <w:rFonts w:ascii="Georgia" w:hAnsi="Georgia" w:eastAsia="Georgia"/>
          <w:b w:val="0"/>
          <w:i w:val="0"/>
          <w:sz w:val="21"/>
        </w:rPr>
        <w:t>Philander, K. (2014). Specific or ad valorem? A theory of casino taxation. Tourism Economics.</w:t>
      </w:r>
    </w:p>
    <w:p>
      <w:pPr>
        <w:pStyle w:val="ListBullet"/>
      </w:pPr>
      <w:r>
        <w:rPr>
          <w:rFonts w:ascii="Georgia" w:hAnsi="Georgia" w:eastAsia="Georgia"/>
          <w:b w:val="0"/>
          <w:i w:val="0"/>
          <w:sz w:val="21"/>
        </w:rPr>
        <w:t>Philander, K. (2017). Entry fees as a responsible gambling tool: An economic analysis. UNLV Gaming Research &amp; Review Journal.</w:t>
      </w:r>
    </w:p>
    <w:p>
      <w:pPr>
        <w:pStyle w:val="ListBullet"/>
      </w:pPr>
      <w:r>
        <w:rPr>
          <w:rFonts w:ascii="Georgia" w:hAnsi="Georgia" w:eastAsia="Georgia"/>
          <w:b w:val="0"/>
          <w:i w:val="0"/>
          <w:sz w:val="21"/>
        </w:rPr>
        <w:t>Philander, K. (2019). Regional impacts of casino availability on gambling problems: Evidence from the Canadian Community Health Survey. Tourism Management.</w:t>
      </w:r>
    </w:p>
    <w:p>
      <w:pPr>
        <w:pStyle w:val="ListBullet"/>
      </w:pPr>
      <w:r>
        <w:rPr>
          <w:rFonts w:ascii="Georgia" w:hAnsi="Georgia" w:eastAsia="Georgia"/>
          <w:b w:val="0"/>
          <w:i w:val="0"/>
          <w:sz w:val="21"/>
        </w:rPr>
        <w:t>Philander, K., Tabri, N., Wood, R., &amp; Wohl, M. (2022). Retail access and addictive consumption: Evidence from casino gambling. International Gambling Studies.</w:t>
      </w:r>
    </w:p>
    <w:p>
      <w:pPr>
        <w:pStyle w:val="ListBullet"/>
      </w:pPr>
      <w:r>
        <w:rPr>
          <w:rFonts w:ascii="Georgia" w:hAnsi="Georgia" w:eastAsia="Georgia"/>
          <w:b w:val="0"/>
          <w:i w:val="0"/>
          <w:sz w:val="21"/>
        </w:rPr>
        <w:t>Philander, K., &amp; Roe, S. (2013). The impact of wage rate growth on tourism competitiveness. Tourism Economics.</w:t>
      </w:r>
    </w:p>
    <w:p>
      <w:pPr>
        <w:pStyle w:val="Heading1"/>
        <w:pageBreakBefore/>
        <w:pBdr>
          <w:bottom w:val="single" w:sz="8" w:space="4" w:color="D9D9D9"/>
        </w:pBdr>
      </w:pPr>
      <w:r>
        <w:t>J. About GP Consulting</w:t>
      </w:r>
    </w:p>
    <w:p>
      <w:r>
        <w:rPr>
          <w:rFonts w:ascii="Georgia" w:hAnsi="Georgia" w:eastAsia="Georgia"/>
          <w:b w:val="0"/>
          <w:i w:val="0"/>
          <w:sz w:val="21"/>
        </w:rPr>
        <w:t>GP Consulting provides economic analysis and policy research on gambling markets for governments, tribal nations, regulators, and commercial operators. The firm's work spans statewide market and economic impact studies, gaming tax and fiscal policy analysis, revenue and demand forecasting, responsible gambling program development and audit, and consulting and testifying expert support in U.S. and international proceedings. Engagements range from single-jurisdiction impact assessments to multi-year advisory relationships with national governments and newly established regulatory authorities.</w:t>
      </w:r>
    </w:p>
    <w:p>
      <w:r>
        <w:rPr>
          <w:rFonts w:ascii="Georgia" w:hAnsi="Georgia" w:eastAsia="Georgia"/>
          <w:b w:val="0"/>
          <w:i w:val="0"/>
          <w:sz w:val="21"/>
        </w:rPr>
        <w:t>At the core of the firm's quantitative work is the Gaming Economic Modeling System (GEMS), a proprietary input-output platform covering all 50 states and built on federal economic accounts (BEA, BLS) with land-based and online gaming-specific multipliers. GEMS is purpose-built for gaming in a way standard economic impact software is not. Off-the-shelf platforms model casinos inside a blended industry sector that combines gambling with golf courses, fitness centers, and amusement parks — activities with fundamentally different labor and cost structures — which systematically misstates the employment and value-added effects of a gaming property. GEMS isolates gambling-specific multipliers from federal detail accounts and adds dedicated online-gambling coefficients that conventional models lack entirely, producing materially more accurate results for both land-based and online operations.</w:t>
      </w:r>
    </w:p>
    <w:p>
      <w:r>
        <w:rPr>
          <w:rFonts w:ascii="Georgia" w:hAnsi="Georgia" w:eastAsia="Georgia"/>
          <w:b w:val="0"/>
          <w:i w:val="0"/>
          <w:sz w:val="21"/>
        </w:rPr>
        <w:t>GEMS produces transparent, replicable estimates of output, value added, employment, wages, and state and local fiscal effects, decomposed into direct, indirect, and induced impacts. It incorporates direct employment data where available and enables rapid, consistent comparison of alternative revenue scenarios.</w:t>
      </w:r>
    </w:p>
    <w:p>
      <w:r>
        <w:rPr>
          <w:rFonts w:ascii="Georgia" w:hAnsi="Georgia" w:eastAsia="Georgia"/>
          <w:b w:val="0"/>
          <w:i w:val="0"/>
          <w:sz w:val="21"/>
        </w:rPr>
        <w:t>GP Consulting has completed more than 165 engagements since 2005, including economic impact and market studies for state, tribal, and national governments and for major gaming operators. Beyond economic analysis, the firm brings deep regulatory and policy expertise.</w:t>
      </w:r>
    </w:p>
    <w:p>
      <w:pPr>
        <w:pStyle w:val="Heading2"/>
      </w:pPr>
      <w:r>
        <w:t>Selected Engagements</w:t>
      </w:r>
    </w:p>
    <w:p>
      <w:pPr>
        <w:pStyle w:val="ListBullet"/>
      </w:pPr>
      <w:r>
        <w:rPr>
          <w:rFonts w:ascii="Georgia" w:hAnsi="Georgia" w:eastAsia="Georgia"/>
          <w:b/>
          <w:i w:val="0"/>
          <w:sz w:val="21"/>
        </w:rPr>
        <w:t xml:space="preserve">Economic Impact Analysis — Choctaw Nation of Oklahoma. </w:t>
      </w:r>
      <w:r>
        <w:rPr>
          <w:rFonts w:ascii="Georgia" w:hAnsi="Georgia" w:eastAsia="Georgia"/>
          <w:b w:val="0"/>
          <w:i w:val="0"/>
          <w:sz w:val="21"/>
        </w:rPr>
        <w:t>Lead Economist for analysis of the Nation's gaming operations, with Victor-Strategies.</w:t>
      </w:r>
    </w:p>
    <w:p>
      <w:pPr>
        <w:pStyle w:val="ListBullet"/>
      </w:pPr>
      <w:r>
        <w:rPr>
          <w:rFonts w:ascii="Georgia" w:hAnsi="Georgia" w:eastAsia="Georgia"/>
          <w:b/>
          <w:i w:val="0"/>
          <w:sz w:val="21"/>
        </w:rPr>
        <w:t xml:space="preserve">Economic Impact Analysis and Market Forecast — Washington State Gambling Commission. </w:t>
      </w:r>
      <w:r>
        <w:rPr>
          <w:rFonts w:ascii="Georgia" w:hAnsi="Georgia" w:eastAsia="Georgia"/>
          <w:b w:val="0"/>
          <w:i w:val="0"/>
          <w:sz w:val="21"/>
        </w:rPr>
        <w:t>Principal investigator for gaming market analysis and revenue forecasting.</w:t>
      </w:r>
    </w:p>
    <w:p>
      <w:pPr>
        <w:pStyle w:val="ListBullet"/>
      </w:pPr>
      <w:r>
        <w:rPr>
          <w:rFonts w:ascii="Georgia" w:hAnsi="Georgia" w:eastAsia="Georgia"/>
          <w:b/>
          <w:i w:val="0"/>
          <w:sz w:val="21"/>
        </w:rPr>
        <w:t xml:space="preserve">Economic Analysis and Forecasting of Sports Betting — Seminole Hard Rock. </w:t>
      </w:r>
      <w:r>
        <w:rPr>
          <w:rFonts w:ascii="Georgia" w:hAnsi="Georgia" w:eastAsia="Georgia"/>
          <w:b w:val="0"/>
          <w:i w:val="0"/>
          <w:sz w:val="21"/>
        </w:rPr>
        <w:t>Analysis supporting Florida sports betting strategy.</w:t>
      </w:r>
    </w:p>
    <w:p>
      <w:pPr>
        <w:pStyle w:val="ListBullet"/>
      </w:pPr>
      <w:r>
        <w:rPr>
          <w:rFonts w:ascii="Georgia" w:hAnsi="Georgia" w:eastAsia="Georgia"/>
          <w:b/>
          <w:i w:val="0"/>
          <w:sz w:val="21"/>
        </w:rPr>
        <w:t xml:space="preserve">Economic Impact Study of Sports Betting — Indiana Gaming Commission. </w:t>
      </w:r>
      <w:r>
        <w:rPr>
          <w:rFonts w:ascii="Georgia" w:hAnsi="Georgia" w:eastAsia="Georgia"/>
          <w:b w:val="0"/>
          <w:i w:val="0"/>
          <w:sz w:val="21"/>
        </w:rPr>
        <w:t>Lead Economist for the statewide economic and fiscal impact analysis of legal sports wagering, including alternative tax scenarios.</w:t>
      </w:r>
    </w:p>
    <w:p>
      <w:pPr>
        <w:pStyle w:val="ListBullet"/>
      </w:pPr>
      <w:r>
        <w:rPr>
          <w:rFonts w:ascii="Georgia" w:hAnsi="Georgia" w:eastAsia="Georgia"/>
          <w:b/>
          <w:i w:val="0"/>
          <w:sz w:val="21"/>
        </w:rPr>
        <w:t xml:space="preserve">Economic and Market Study of iGaming — West Virginia Lottery. </w:t>
      </w:r>
      <w:r>
        <w:rPr>
          <w:rFonts w:ascii="Georgia" w:hAnsi="Georgia" w:eastAsia="Georgia"/>
          <w:b w:val="0"/>
          <w:i w:val="0"/>
          <w:sz w:val="21"/>
        </w:rPr>
        <w:t>Lead Economist for market and economic analysis of internet gaming legalization.</w:t>
      </w:r>
    </w:p>
    <w:p>
      <w:pPr>
        <w:pStyle w:val="ListBullet"/>
      </w:pPr>
      <w:r>
        <w:rPr>
          <w:rFonts w:ascii="Georgia" w:hAnsi="Georgia" w:eastAsia="Georgia"/>
          <w:b/>
          <w:i w:val="0"/>
          <w:sz w:val="21"/>
        </w:rPr>
        <w:t xml:space="preserve">Economic Study of the National Gaming and Lottery Sector — Government of The Bahamas. </w:t>
      </w:r>
      <w:r>
        <w:rPr>
          <w:rFonts w:ascii="Georgia" w:hAnsi="Georgia" w:eastAsia="Georgia"/>
          <w:b w:val="0"/>
          <w:i w:val="0"/>
          <w:sz w:val="21"/>
        </w:rPr>
        <w:t>Lead Economist for an engagement spanning gaming tax reform.</w:t>
      </w:r>
    </w:p>
    <w:p>
      <w:pPr>
        <w:pStyle w:val="ListBullet"/>
      </w:pPr>
      <w:r>
        <w:rPr>
          <w:rFonts w:ascii="Georgia" w:hAnsi="Georgia" w:eastAsia="Georgia"/>
          <w:b/>
          <w:i w:val="0"/>
          <w:sz w:val="21"/>
        </w:rPr>
        <w:t xml:space="preserve">Economic Impact Modeling — Wynn Resorts. </w:t>
      </w:r>
      <w:r>
        <w:rPr>
          <w:rFonts w:ascii="Georgia" w:hAnsi="Georgia" w:eastAsia="Georgia"/>
          <w:b w:val="0"/>
          <w:i w:val="0"/>
          <w:sz w:val="21"/>
        </w:rPr>
        <w:t>Lead Economist for development impact modeling.</w:t>
      </w:r>
    </w:p>
    <w:p>
      <w:pPr>
        <w:pStyle w:val="ListBullet"/>
      </w:pPr>
      <w:r>
        <w:rPr>
          <w:rFonts w:ascii="Georgia" w:hAnsi="Georgia" w:eastAsia="Georgia"/>
          <w:b/>
          <w:i w:val="0"/>
          <w:sz w:val="21"/>
        </w:rPr>
        <w:t>Economic and Social Impact Study of Japanese Integrated Resorts — US-Japan Business Council, via UNLV International Gaming Institute.</w:t>
      </w:r>
    </w:p>
    <w:p>
      <w:pPr>
        <w:pStyle w:val="ListBullet"/>
      </w:pPr>
      <w:r>
        <w:rPr>
          <w:rFonts w:ascii="Georgia" w:hAnsi="Georgia" w:eastAsia="Georgia"/>
          <w:b/>
          <w:i w:val="0"/>
          <w:sz w:val="21"/>
        </w:rPr>
        <w:t xml:space="preserve">Economic Impact Study of Online and Retail Gaming — MGM Resorts International. </w:t>
      </w:r>
      <w:r>
        <w:rPr>
          <w:rFonts w:ascii="Georgia" w:hAnsi="Georgia" w:eastAsia="Georgia"/>
          <w:b w:val="0"/>
          <w:i w:val="0"/>
          <w:sz w:val="21"/>
        </w:rPr>
        <w:t>Published economic impact analysis of online and land-based operations.</w:t>
      </w:r>
    </w:p>
    <w:p>
      <w:pPr>
        <w:pStyle w:val="ListBullet"/>
      </w:pPr>
      <w:r>
        <w:rPr>
          <w:rFonts w:ascii="Georgia" w:hAnsi="Georgia" w:eastAsia="Georgia"/>
          <w:b/>
          <w:i w:val="0"/>
          <w:sz w:val="21"/>
        </w:rPr>
        <w:t xml:space="preserve">Economic Research and Regulatory Advisory Services — General Commercial Gaming Regulatory Authority, United Arab Emirates. </w:t>
      </w:r>
      <w:r>
        <w:rPr>
          <w:rFonts w:ascii="Georgia" w:hAnsi="Georgia" w:eastAsia="Georgia"/>
          <w:b w:val="0"/>
          <w:i w:val="0"/>
          <w:sz w:val="21"/>
        </w:rPr>
        <w:t>Research Advisor to a newly established federal gaming regulator.</w:t>
      </w:r>
    </w:p>
    <w:p>
      <w:pPr>
        <w:pStyle w:val="Heading1"/>
        <w:pageBreakBefore/>
        <w:pBdr>
          <w:bottom w:val="single" w:sz="8" w:space="4" w:color="D9D9D9"/>
        </w:pBdr>
      </w:pPr>
      <w:r>
        <w:t>K. Appendix — Complete Engagement History</w:t>
      </w:r>
    </w:p>
    <w:p>
      <w:r>
        <w:rPr>
          <w:rFonts w:ascii="Georgia" w:hAnsi="Georgia" w:eastAsia="Georgia"/>
          <w:b w:val="0"/>
          <w:i w:val="0"/>
          <w:sz w:val="21"/>
        </w:rPr>
        <w:t>The following is a chronological history of Victor-Strategies engagements (and precursor work by its principals) relevant to interactive wagering, sports betting, and tribal gaming. The engagements most relevant to this RFP are discussed by phase in Section A.</w:t>
      </w:r>
    </w:p>
    <w:p>
      <w:pPr>
        <w:pStyle w:val="ListBullet"/>
      </w:pPr>
      <w:r>
        <w:rPr>
          <w:rFonts w:ascii="Georgia" w:hAnsi="Georgia" w:eastAsia="Georgia"/>
          <w:b/>
          <w:i w:val="0"/>
          <w:sz w:val="21"/>
        </w:rPr>
        <w:t xml:space="preserve">1999–2006. </w:t>
      </w:r>
      <w:r>
        <w:rPr>
          <w:rFonts w:ascii="Georgia" w:hAnsi="Georgia" w:eastAsia="Georgia"/>
          <w:b w:val="0"/>
          <w:i w:val="0"/>
          <w:sz w:val="21"/>
        </w:rPr>
        <w:t>Mr. Johnson provided qualitative and quantitative research, analysis, and consulting services to international iGaming companies operating in the North American market, covering market sizing, player perceptions, attributes of attraction, player loyalty and satisfaction, new product development and testing, and website usability and application functionality. Results were used to identify opportunities, develop new games and applications, establish player loyalty and reward programs, and implement back-end deposit and redemption functions.</w:t>
      </w:r>
    </w:p>
    <w:p>
      <w:pPr>
        <w:pStyle w:val="ListBullet"/>
      </w:pPr>
      <w:r>
        <w:rPr>
          <w:rFonts w:ascii="Georgia" w:hAnsi="Georgia" w:eastAsia="Georgia"/>
          <w:b/>
          <w:i w:val="0"/>
          <w:sz w:val="21"/>
        </w:rPr>
        <w:t xml:space="preserve">2010. </w:t>
      </w:r>
      <w:r>
        <w:rPr>
          <w:rFonts w:ascii="Georgia" w:hAnsi="Georgia" w:eastAsia="Georgia"/>
          <w:b w:val="0"/>
          <w:i w:val="0"/>
          <w:sz w:val="21"/>
        </w:rPr>
        <w:t>While heading EE Johnson Research, Mr. Johnson was contracted by Spectrum Gaming Group to produce the 2010 Internet Gaming White Paper for the National Indian Gaming Association — a groundbreaking examination of the history, trends, and status of global Internet gaming prior to U.S. legalization that served as an educational template and operational blueprint for Native American and commercial casino operators considering domestic iGaming market entry.</w:t>
      </w:r>
    </w:p>
    <w:p>
      <w:pPr>
        <w:pStyle w:val="ListBullet"/>
      </w:pPr>
      <w:r>
        <w:rPr>
          <w:rFonts w:ascii="Georgia" w:hAnsi="Georgia" w:eastAsia="Georgia"/>
          <w:b/>
          <w:i w:val="0"/>
          <w:sz w:val="21"/>
        </w:rPr>
        <w:t xml:space="preserve">2012. </w:t>
      </w:r>
      <w:r>
        <w:rPr>
          <w:rFonts w:ascii="Georgia" w:hAnsi="Georgia" w:eastAsia="Georgia"/>
          <w:b w:val="0"/>
          <w:i w:val="0"/>
          <w:sz w:val="21"/>
        </w:rPr>
        <w:t>Mr. Johnson testified before the United States Senate Committee on Indian Affairs on the subject of Internet gambling regulation for Native American tribal governments.</w:t>
      </w:r>
    </w:p>
    <w:p>
      <w:pPr>
        <w:pStyle w:val="ListBullet"/>
      </w:pPr>
      <w:r>
        <w:rPr>
          <w:rFonts w:ascii="Georgia" w:hAnsi="Georgia" w:eastAsia="Georgia"/>
          <w:b/>
          <w:i w:val="0"/>
          <w:sz w:val="21"/>
        </w:rPr>
        <w:t xml:space="preserve">2012. </w:t>
      </w:r>
      <w:r>
        <w:rPr>
          <w:rFonts w:ascii="Georgia" w:hAnsi="Georgia" w:eastAsia="Georgia"/>
          <w:b w:val="0"/>
          <w:i w:val="0"/>
          <w:sz w:val="21"/>
        </w:rPr>
        <w:t>While with Spectrum, Mr. Johnson served as lead consultant to the Massachusetts State Lottery Commission's Online Products Task Force, which advised the State Treasurer on the potential for the Lottery — the most successful in the United States on a per-capita basis — to offer online wagering products while protecting the interests of its 7,400 retail outlets and the investment value of the soon-to-be-awarded commercial casino licenses. Mr. Johnson was a principal contributor to the resulting report, Facing the Lottery's Future: Implications and Strategies Regarding Internet Sales, which remains a blueprint for how U.S. state lotteries should approach Internet lottery operations.</w:t>
      </w:r>
    </w:p>
    <w:p>
      <w:pPr>
        <w:pStyle w:val="ListBullet"/>
      </w:pPr>
      <w:r>
        <w:rPr>
          <w:rFonts w:ascii="Georgia" w:hAnsi="Georgia" w:eastAsia="Georgia"/>
          <w:b/>
          <w:i w:val="0"/>
          <w:sz w:val="21"/>
        </w:rPr>
        <w:t xml:space="preserve">2012. </w:t>
      </w:r>
      <w:r>
        <w:rPr>
          <w:rFonts w:ascii="Georgia" w:hAnsi="Georgia" w:eastAsia="Georgia"/>
          <w:b w:val="0"/>
          <w:i w:val="0"/>
          <w:sz w:val="21"/>
        </w:rPr>
        <w:t>Mr. Johnson served as lead consultant and project manager for a major commercial cruise line exploring onboard iGaming operations in international waters. Deliverables included an articulated business model, projected revenues, a technical assessment, and a comprehensive vendor evaluation, in coordination with multiple international subcontractors.</w:t>
      </w:r>
    </w:p>
    <w:p>
      <w:pPr>
        <w:pStyle w:val="ListBullet"/>
      </w:pPr>
      <w:r>
        <w:rPr>
          <w:rFonts w:ascii="Georgia" w:hAnsi="Georgia" w:eastAsia="Georgia"/>
          <w:b/>
          <w:i w:val="0"/>
          <w:sz w:val="21"/>
        </w:rPr>
        <w:t xml:space="preserve">2013. </w:t>
      </w:r>
      <w:r>
        <w:rPr>
          <w:rFonts w:ascii="Georgia" w:hAnsi="Georgia" w:eastAsia="Georgia"/>
          <w:b w:val="0"/>
          <w:i w:val="0"/>
          <w:sz w:val="21"/>
        </w:rPr>
        <w:t>Mr. Johnson analyzed the California Internet poker market for a major Native American tribal casino consortium, including population statistics, market sizing and demographic profiling of potential players, projected revenues by poker vertical, optimal taxation rates based on a survey of legal Internet poker jurisdictions worldwide, and a global regulatory overview. The results were used to frame policy decisions by the consortium of tribal governments.</w:t>
      </w:r>
    </w:p>
    <w:p>
      <w:pPr>
        <w:pStyle w:val="ListBullet"/>
      </w:pPr>
      <w:r>
        <w:rPr>
          <w:rFonts w:ascii="Georgia" w:hAnsi="Georgia" w:eastAsia="Georgia"/>
          <w:b/>
          <w:i w:val="0"/>
          <w:sz w:val="21"/>
        </w:rPr>
        <w:t xml:space="preserve">2014–2016. </w:t>
      </w:r>
      <w:r>
        <w:rPr>
          <w:rFonts w:ascii="Georgia" w:hAnsi="Georgia" w:eastAsia="Georgia"/>
          <w:b w:val="0"/>
          <w:i w:val="0"/>
          <w:sz w:val="21"/>
        </w:rPr>
        <w:t>Mr. Johnson designed the content and structure of the opening half-day iGaming session for the East Coast Gaming Congress and iGaming Institute in Atlantic City, New Jersey, and moderated each year's panel on the progress of iGaming in New Jersey, the most successful legal U.S. jurisdiction.</w:t>
      </w:r>
    </w:p>
    <w:p>
      <w:pPr>
        <w:pStyle w:val="ListBullet"/>
      </w:pPr>
      <w:r>
        <w:rPr>
          <w:rFonts w:ascii="Georgia" w:hAnsi="Georgia" w:eastAsia="Georgia"/>
          <w:b/>
          <w:i w:val="0"/>
          <w:sz w:val="21"/>
        </w:rPr>
        <w:t xml:space="preserve">2014. </w:t>
      </w:r>
      <w:r>
        <w:rPr>
          <w:rFonts w:ascii="Georgia" w:hAnsi="Georgia" w:eastAsia="Georgia"/>
          <w:b w:val="0"/>
          <w:i w:val="0"/>
          <w:sz w:val="21"/>
        </w:rPr>
        <w:t>Mr. Johnson served as lead consultant in a market study and the development of a market-entry and rollout strategy for a major U.S. territory exploring iGaming operations.</w:t>
      </w:r>
    </w:p>
    <w:p>
      <w:pPr>
        <w:pStyle w:val="ListBullet"/>
      </w:pPr>
      <w:r>
        <w:rPr>
          <w:rFonts w:ascii="Georgia" w:hAnsi="Georgia" w:eastAsia="Georgia"/>
          <w:b/>
          <w:i w:val="0"/>
          <w:sz w:val="21"/>
        </w:rPr>
        <w:t xml:space="preserve">2014. </w:t>
      </w:r>
      <w:r>
        <w:rPr>
          <w:rFonts w:ascii="Georgia" w:hAnsi="Georgia" w:eastAsia="Georgia"/>
          <w:b w:val="0"/>
          <w:i w:val="0"/>
          <w:sz w:val="21"/>
        </w:rPr>
        <w:t>Mr. Johnson served as Spectrum Gaming Group's lead consultant in two engagements for casino license applicants under New York's Upstate Gaming Economic Development Act of 2013, leading a team of subject matter experts in preparing license submissions for clients in the Capital and Hudson River districts and participating in the selection process before the New York State Gaming Commission's Gaming Facility Location Board.</w:t>
      </w:r>
    </w:p>
    <w:p>
      <w:pPr>
        <w:pStyle w:val="ListBullet"/>
      </w:pPr>
      <w:r>
        <w:rPr>
          <w:rFonts w:ascii="Georgia" w:hAnsi="Georgia" w:eastAsia="Georgia"/>
          <w:b/>
          <w:i w:val="0"/>
          <w:sz w:val="21"/>
        </w:rPr>
        <w:t xml:space="preserve">2015. </w:t>
      </w:r>
      <w:r>
        <w:rPr>
          <w:rFonts w:ascii="Georgia" w:hAnsi="Georgia" w:eastAsia="Georgia"/>
          <w:b w:val="0"/>
          <w:i w:val="0"/>
          <w:sz w:val="21"/>
        </w:rPr>
        <w:t>Mr. Johnson conducted player research for a Native American operator of five casinos, including two with hotels, in the Great Lakes region. Objectives included a customer assessment profiling perceptions of the property ahead of a major refresh, calculating marketing return on investment, and differentiating the attraction of casino marketing offers from hotel, food and beverage, and spa offers.</w:t>
      </w:r>
    </w:p>
    <w:p>
      <w:pPr>
        <w:pStyle w:val="ListBullet"/>
      </w:pPr>
      <w:r>
        <w:rPr>
          <w:rFonts w:ascii="Georgia" w:hAnsi="Georgia" w:eastAsia="Georgia"/>
          <w:b/>
          <w:i w:val="0"/>
          <w:sz w:val="21"/>
        </w:rPr>
        <w:t xml:space="preserve">2016. </w:t>
      </w:r>
      <w:r>
        <w:rPr>
          <w:rFonts w:ascii="Georgia" w:hAnsi="Georgia" w:eastAsia="Georgia"/>
          <w:b w:val="0"/>
          <w:i w:val="0"/>
          <w:sz w:val="21"/>
        </w:rPr>
        <w:t>Victor-Strategies conducted a competitive analysis of the Central New Mexico market for a leading tribal casino operator, measuring the effect of competitor hotel additions and expansions on visitation to the client's property in a highly competitive regional marketplace.</w:t>
      </w:r>
    </w:p>
    <w:p>
      <w:pPr>
        <w:pStyle w:val="ListBullet"/>
      </w:pPr>
      <w:r>
        <w:rPr>
          <w:rFonts w:ascii="Georgia" w:hAnsi="Georgia" w:eastAsia="Georgia"/>
          <w:b/>
          <w:i w:val="0"/>
          <w:sz w:val="21"/>
        </w:rPr>
        <w:t xml:space="preserve">2017. </w:t>
      </w:r>
      <w:r>
        <w:rPr>
          <w:rFonts w:ascii="Georgia" w:hAnsi="Georgia" w:eastAsia="Georgia"/>
          <w:b w:val="0"/>
          <w:i w:val="0"/>
          <w:sz w:val="21"/>
        </w:rPr>
        <w:t>Victor-Strategies was engaged by an upstate New York casino operator to quantify the total available market for sports wagering in New York State, generate statewide and property-specific revenue estimates, and develop a mobile and retail sports betting model.</w:t>
      </w:r>
    </w:p>
    <w:p>
      <w:pPr>
        <w:pStyle w:val="ListBullet"/>
      </w:pPr>
      <w:r>
        <w:rPr>
          <w:rFonts w:ascii="Georgia" w:hAnsi="Georgia" w:eastAsia="Georgia"/>
          <w:b/>
          <w:i w:val="0"/>
          <w:sz w:val="21"/>
        </w:rPr>
        <w:t xml:space="preserve">2018. </w:t>
      </w:r>
      <w:r>
        <w:rPr>
          <w:rFonts w:ascii="Georgia" w:hAnsi="Georgia" w:eastAsia="Georgia"/>
          <w:b w:val="0"/>
          <w:i w:val="0"/>
          <w:sz w:val="21"/>
        </w:rPr>
        <w:t>Victor-Strategies authored Sports Betting and Indian Gaming, an informational white paper on the potential for legalized sports betting in Indian Country, for a major slot manufacturer. The study was distributed to select clients shortly after the overturn of PASPA in May 2018.</w:t>
      </w:r>
    </w:p>
    <w:p>
      <w:pPr>
        <w:pStyle w:val="ListBullet"/>
      </w:pPr>
      <w:r>
        <w:rPr>
          <w:rFonts w:ascii="Georgia" w:hAnsi="Georgia" w:eastAsia="Georgia"/>
          <w:b/>
          <w:i w:val="0"/>
          <w:sz w:val="21"/>
        </w:rPr>
        <w:t xml:space="preserve">2018. </w:t>
      </w:r>
      <w:r>
        <w:rPr>
          <w:rFonts w:ascii="Georgia" w:hAnsi="Georgia" w:eastAsia="Georgia"/>
          <w:b w:val="0"/>
          <w:i w:val="0"/>
          <w:sz w:val="21"/>
        </w:rPr>
        <w:t>Victor-Strategies partnered with Alan Meister of Meister Economic Consulting to produce the Economic Impact of New Jersey Online Gaming for iDEA (Interactive Digital Entertainment Association). Updated in 2020 to incorporate six years of regulated-market data, the study documented New Jersey iGaming's history, operational structure, job creation, tax revenue, and relationship to land-based casino performance, and became a widely referenced document in state iGaming legalization debates.</w:t>
      </w:r>
    </w:p>
    <w:p>
      <w:pPr>
        <w:pStyle w:val="ListBullet"/>
      </w:pPr>
      <w:r>
        <w:rPr>
          <w:rFonts w:ascii="Georgia" w:hAnsi="Georgia" w:eastAsia="Georgia"/>
          <w:b/>
          <w:i w:val="0"/>
          <w:sz w:val="21"/>
        </w:rPr>
        <w:t xml:space="preserve">2018–2020. </w:t>
      </w:r>
      <w:r>
        <w:rPr>
          <w:rFonts w:ascii="Georgia" w:hAnsi="Georgia" w:eastAsia="Georgia"/>
          <w:b w:val="0"/>
          <w:i w:val="0"/>
          <w:sz w:val="21"/>
        </w:rPr>
        <w:t>Victor-Strategies advised a domestic start-up offering micro-betting products on its U.S. market rollout strategy. The engagement concluded when the client was acquired by a major U.S. sports betting operator.</w:t>
      </w:r>
    </w:p>
    <w:p>
      <w:pPr>
        <w:pStyle w:val="ListBullet"/>
      </w:pPr>
      <w:r>
        <w:rPr>
          <w:rFonts w:ascii="Georgia" w:hAnsi="Georgia" w:eastAsia="Georgia"/>
          <w:b/>
          <w:i w:val="0"/>
          <w:sz w:val="21"/>
        </w:rPr>
        <w:t xml:space="preserve">2018–2021. </w:t>
      </w:r>
      <w:r>
        <w:rPr>
          <w:rFonts w:ascii="Georgia" w:hAnsi="Georgia" w:eastAsia="Georgia"/>
          <w:b w:val="0"/>
          <w:i w:val="0"/>
          <w:sz w:val="21"/>
        </w:rPr>
        <w:t>Over three years, Victor-Strategies advised the Choctaw Nation of Oklahoma on the tribe's white-label sports betting initiatives, delivering a regional market study, an online sports betting model with a 10-year revenue forecast, a retail sports betting forecast, and an economic impact analysis. V-S also conducted a survey of more than 3,000 database customers and non-customers across Oklahoma and Texas profiling betting behavior, attitudes toward legalization, and demographics — which showed that a significant share of casino players were actively betting on sports in states where the practice had yet to be legalized.</w:t>
      </w:r>
    </w:p>
    <w:p>
      <w:pPr>
        <w:pStyle w:val="ListBullet"/>
      </w:pPr>
      <w:r>
        <w:rPr>
          <w:rFonts w:ascii="Georgia" w:hAnsi="Georgia" w:eastAsia="Georgia"/>
          <w:b/>
          <w:i w:val="0"/>
          <w:sz w:val="21"/>
        </w:rPr>
        <w:t xml:space="preserve">Since 2018. </w:t>
      </w:r>
      <w:r>
        <w:rPr>
          <w:rFonts w:ascii="Georgia" w:hAnsi="Georgia" w:eastAsia="Georgia"/>
          <w:b w:val="0"/>
          <w:i w:val="0"/>
          <w:sz w:val="21"/>
        </w:rPr>
        <w:t>Victor-Strategies has partnered with Eilers &amp; Krejcik Gaming on multiple national and statewide research projects involving online sports betting market sizing, industry profiles, and gaming consumer research. Publicly available reports are linked in Section A.</w:t>
      </w:r>
    </w:p>
    <w:p>
      <w:pPr>
        <w:pStyle w:val="ListBullet"/>
      </w:pPr>
      <w:r>
        <w:rPr>
          <w:rFonts w:ascii="Georgia" w:hAnsi="Georgia" w:eastAsia="Georgia"/>
          <w:b/>
          <w:i w:val="0"/>
          <w:sz w:val="21"/>
        </w:rPr>
        <w:t xml:space="preserve">2019–2022. </w:t>
      </w:r>
      <w:r>
        <w:rPr>
          <w:rFonts w:ascii="Georgia" w:hAnsi="Georgia" w:eastAsia="Georgia"/>
          <w:b w:val="0"/>
          <w:i w:val="0"/>
          <w:sz w:val="21"/>
        </w:rPr>
        <w:t>Over three years, Victor-Strategies advised a major Scandinavian sports betting operator on the development and rollout of its online sports wagering product in the U.S. market, including competitive intelligence and assessment of more than a dozen sports betting apps across multiple states, and consumer research with sports bettors to test the user interface and develop an Americanized wagering application.</w:t>
      </w:r>
    </w:p>
    <w:p>
      <w:pPr>
        <w:pStyle w:val="ListBullet"/>
      </w:pPr>
      <w:r>
        <w:rPr>
          <w:rFonts w:ascii="Georgia" w:hAnsi="Georgia" w:eastAsia="Georgia"/>
          <w:b/>
          <w:i w:val="0"/>
          <w:sz w:val="21"/>
        </w:rPr>
        <w:t xml:space="preserve">2019. </w:t>
      </w:r>
      <w:r>
        <w:rPr>
          <w:rFonts w:ascii="Georgia" w:hAnsi="Georgia" w:eastAsia="Georgia"/>
          <w:b w:val="0"/>
          <w:i w:val="0"/>
          <w:sz w:val="21"/>
        </w:rPr>
        <w:t>Victor-Strategies conducted a market evaluation of sports betting feasibility in Arkansas, including statewide and property-specific handle and revenue forecasts.</w:t>
      </w:r>
    </w:p>
    <w:p>
      <w:pPr>
        <w:pStyle w:val="ListBullet"/>
      </w:pPr>
      <w:r>
        <w:rPr>
          <w:rFonts w:ascii="Georgia" w:hAnsi="Georgia" w:eastAsia="Georgia"/>
          <w:b/>
          <w:i w:val="0"/>
          <w:sz w:val="21"/>
        </w:rPr>
        <w:t xml:space="preserve">Since 2022. </w:t>
      </w:r>
      <w:r>
        <w:rPr>
          <w:rFonts w:ascii="Georgia" w:hAnsi="Georgia" w:eastAsia="Georgia"/>
          <w:b w:val="0"/>
          <w:i w:val="0"/>
          <w:sz w:val="21"/>
        </w:rPr>
        <w:t>Victor-Strategies has advised a tribal gaming client in Minnesota on the legislative outlook, revenue opportunities, and operational requirements for legalized sports wagering, developing multiple market-sizing, handle, and revenue estimates for both mobile and retail sports betting, adjusted to each session's legislative proposals.</w:t>
      </w:r>
    </w:p>
    <w:p>
      <w:pPr>
        <w:pStyle w:val="ListBullet"/>
      </w:pPr>
      <w:r>
        <w:rPr>
          <w:rFonts w:ascii="Georgia" w:hAnsi="Georgia" w:eastAsia="Georgia"/>
          <w:b/>
          <w:i w:val="0"/>
          <w:sz w:val="21"/>
        </w:rPr>
        <w:t xml:space="preserve">2023–2025. </w:t>
      </w:r>
      <w:r>
        <w:rPr>
          <w:rFonts w:ascii="Georgia" w:hAnsi="Georgia" w:eastAsia="Georgia"/>
          <w:b w:val="0"/>
          <w:i w:val="0"/>
          <w:sz w:val="21"/>
        </w:rPr>
        <w:t>Victor-Strategies executed a two-year engagement with a major international provider of sports betting data, platforms, and player account management (PAM) systems, providing strategic advisory services during U.S. market entry and monthly reports on developments in the U.S. sports wagering market, with particular attention to tribal government gaming.</w:t>
      </w:r>
    </w:p>
    <w:p>
      <w:pPr>
        <w:pStyle w:val="ListBullet"/>
      </w:pPr>
      <w:r>
        <w:rPr>
          <w:rFonts w:ascii="Georgia" w:hAnsi="Georgia" w:eastAsia="Georgia"/>
          <w:b/>
          <w:i w:val="0"/>
          <w:sz w:val="21"/>
        </w:rPr>
        <w:t xml:space="preserve">2024. </w:t>
      </w:r>
      <w:r>
        <w:rPr>
          <w:rFonts w:ascii="Georgia" w:hAnsi="Georgia" w:eastAsia="Georgia"/>
          <w:b w:val="0"/>
          <w:i w:val="0"/>
          <w:sz w:val="21"/>
        </w:rPr>
        <w:t>Victor-Strategies collaborated with Alan Meister of Meister Economic Consulting, Doug Walker, and Dan Waugh of Regulus Partners to produce A Comprehensive Analysis of NERA's Study on New Jersey's iGaming Economic Impact — testing two competing economic models' data, assumptions, and methods line by line, and publishing findings that withstood adversarial scrutiny from the funded study's sponsors.</w:t>
      </w:r>
    </w:p>
    <w:p>
      <w:pPr>
        <w:pStyle w:val="ListBullet"/>
      </w:pPr>
      <w:r>
        <w:rPr>
          <w:rFonts w:ascii="Georgia" w:hAnsi="Georgia" w:eastAsia="Georgia"/>
          <w:b/>
          <w:i w:val="0"/>
          <w:sz w:val="21"/>
        </w:rPr>
        <w:t xml:space="preserve">2025. </w:t>
      </w:r>
      <w:r>
        <w:rPr>
          <w:rFonts w:ascii="Georgia" w:hAnsi="Georgia" w:eastAsia="Georgia"/>
          <w:b w:val="0"/>
          <w:i w:val="0"/>
          <w:sz w:val="21"/>
        </w:rPr>
        <w:t>Victor-Strategies conducted a sports betting feasibility study for one of the successful bidders in the New York City casino license competition, including statewide and property-specific 10-year handle and revenue forecasts.</w:t>
      </w:r>
    </w:p>
    <w:p>
      <w:pPr>
        <w:pStyle w:val="ListBullet"/>
      </w:pPr>
      <w:r>
        <w:rPr>
          <w:rFonts w:ascii="Georgia" w:hAnsi="Georgia" w:eastAsia="Georgia"/>
          <w:b/>
          <w:i w:val="0"/>
          <w:sz w:val="21"/>
        </w:rPr>
        <w:t xml:space="preserve">2025. </w:t>
      </w:r>
      <w:r>
        <w:rPr>
          <w:rFonts w:ascii="Georgia" w:hAnsi="Georgia" w:eastAsia="Georgia"/>
          <w:b w:val="0"/>
          <w:i w:val="0"/>
          <w:sz w:val="21"/>
        </w:rPr>
        <w:t>Victor-Strategies was engaged by Barclay Damon as an expert witness in its lawsuit on behalf of the Cayuga Nation against the New York Lottery, producing an expert witness report on the classification of lottery offerings as Class III gaming on Indian lands, which is impermissible under the Indian Gaming Regulatory Act (IGRA).</w:t>
      </w:r>
    </w:p>
    <w:p>
      <w:pPr>
        <w:pStyle w:val="ListBullet"/>
      </w:pPr>
      <w:r>
        <w:rPr>
          <w:rFonts w:ascii="Georgia" w:hAnsi="Georgia" w:eastAsia="Georgia"/>
          <w:b/>
          <w:i w:val="0"/>
          <w:sz w:val="21"/>
        </w:rPr>
        <w:t xml:space="preserve">2026. </w:t>
      </w:r>
      <w:r>
        <w:rPr>
          <w:rFonts w:ascii="Georgia" w:hAnsi="Georgia" w:eastAsia="Georgia"/>
          <w:b w:val="0"/>
          <w:i w:val="0"/>
          <w:sz w:val="21"/>
        </w:rPr>
        <w:t>Victor-Strategies conducted a sports betting feasibility study for a tribal gaming client in Minnesota, including statewide and property-specific five-year handle and revenue forecasts.</w:t>
      </w:r>
    </w:p>
    <w:p>
      <w:r>
        <w:rPr>
          <w:rFonts w:ascii="Georgia" w:hAnsi="Georgia" w:eastAsia="Georgia"/>
          <w:b/>
          <w:i w:val="0"/>
          <w:sz w:val="19"/>
        </w:rPr>
        <w:t xml:space="preserve">Reference links: </w:t>
      </w:r>
      <w:r>
        <w:rPr>
          <w:rFonts w:ascii="Georgia" w:hAnsi="Georgia" w:eastAsia="Georgia"/>
          <w:b w:val="0"/>
          <w:i w:val="0"/>
          <w:sz w:val="19"/>
        </w:rPr>
        <w:t xml:space="preserve">2010 Internet Gaming White Paper — </w:t>
      </w:r>
      <w:hyperlink r:id="rId16">
        <w:r>
          <w:rPr>
            <w:rFonts w:ascii="Georgia" w:hAnsi="Georgia"/>
            <w:color w:val="1155CC"/>
            <w:sz w:val="19"/>
            <w:u w:val="single"/>
          </w:rPr>
          <w:t>http://www.indiangaming.org/info/alerts/Spectrum-Internet-Paper.pdf</w:t>
        </w:r>
      </w:hyperlink>
      <w:r>
        <w:rPr>
          <w:rFonts w:ascii="Georgia" w:hAnsi="Georgia" w:eastAsia="Georgia"/>
          <w:b w:val="0"/>
          <w:i w:val="0"/>
          <w:sz w:val="19"/>
        </w:rPr>
        <w:t xml:space="preserve">;  2012 Senate testimony — </w:t>
      </w:r>
      <w:hyperlink r:id="rId24">
        <w:r>
          <w:rPr>
            <w:rFonts w:ascii="Georgia" w:hAnsi="Georgia"/>
            <w:color w:val="1155CC"/>
            <w:sz w:val="19"/>
            <w:u w:val="single"/>
          </w:rPr>
          <w:t>http://www.indian.senate.gov/hearing/oversight-hearing-regulation-tribal-gaming-brick-mortar-internet</w:t>
        </w:r>
      </w:hyperlink>
      <w:r>
        <w:rPr>
          <w:rFonts w:ascii="Georgia" w:hAnsi="Georgia" w:eastAsia="Georgia"/>
          <w:b w:val="0"/>
          <w:i w:val="0"/>
          <w:sz w:val="19"/>
        </w:rPr>
        <w:t xml:space="preserve">;  Massachusetts Lottery report — </w:t>
      </w:r>
      <w:hyperlink r:id="rId25">
        <w:r>
          <w:rPr>
            <w:rFonts w:ascii="Georgia" w:hAnsi="Georgia"/>
            <w:color w:val="1155CC"/>
            <w:sz w:val="19"/>
            <w:u w:val="single"/>
          </w:rPr>
          <w:t>http://www.masslottery.com/lib/downloads/leadership/pdfs/SpectrumGamingGroupFinalReport12-4-12Ammended.pdf</w:t>
        </w:r>
      </w:hyperlink>
      <w:r>
        <w:rPr>
          <w:rFonts w:ascii="Georgia" w:hAnsi="Georgia" w:eastAsia="Georgia"/>
          <w:b w:val="0"/>
          <w:i w:val="0"/>
          <w:sz w:val="19"/>
        </w:rPr>
        <w:t xml:space="preserve">;  New Jersey iGaming study — </w:t>
      </w:r>
      <w:hyperlink r:id="rId26">
        <w:r>
          <w:rPr>
            <w:rFonts w:ascii="Georgia" w:hAnsi="Georgia"/>
            <w:color w:val="1155CC"/>
            <w:sz w:val="19"/>
            <w:u w:val="single"/>
          </w:rPr>
          <w:t>https://ideagrowth.org/wp-content/uploads/iDEA-Economic-Impact-of-NJ-iGaming_FULL-REPORT_2019.pdf</w:t>
        </w:r>
      </w:hyperlink>
      <w:r>
        <w:rPr>
          <w:rFonts w:ascii="Georgia" w:hAnsi="Georgia" w:eastAsia="Georgia"/>
          <w:b w:val="0"/>
          <w:i w:val="0"/>
          <w:sz w:val="19"/>
        </w:rPr>
        <w:t xml:space="preserve">;  NERA rebuttal — </w:t>
      </w:r>
      <w:hyperlink r:id="rId27">
        <w:r>
          <w:rPr>
            <w:rFonts w:ascii="Georgia" w:hAnsi="Georgia"/>
            <w:color w:val="1155CC"/>
            <w:sz w:val="19"/>
            <w:u w:val="single"/>
          </w:rPr>
          <w:t>https://ideagrowth.org/wp-content/uploads/iDEA_Comprehensive-Analysis-of-NERA-Study_March-2024.pdf</w:t>
        </w:r>
      </w:hyperlink>
      <w:r>
        <w:rPr>
          <w:rFonts w:ascii="Georgia" w:hAnsi="Georgia" w:eastAsia="Georgia"/>
          <w:b w:val="0"/>
          <w:i w:val="0"/>
          <w:sz w:val="19"/>
        </w:rPr>
        <w:t>.</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E6E6E"/>
        <w:sz w:val="17"/>
      </w:rPr>
      <w:t xml:space="preserve">DRAFT — Confidential   |   Page </w:t>
    </w:r>
    <w:r>
      <w:rPr>
        <w:rFonts w:ascii="Calibri" w:hAnsi="Calibri" w:eastAsia="Calibri"/>
        <w:b w:val="0"/>
        <w:i w:val="0"/>
        <w:color w:val="6E6E6E"/>
        <w:sz w:val="17"/>
      </w:rPr>
      <w:fldChar w:fldCharType="begin"/>
    </w:r>
    <w:r>
      <w:rPr>
        <w:rFonts w:ascii="Calibri" w:hAnsi="Calibri" w:eastAsia="Calibri"/>
        <w:b w:val="0"/>
        <w:i w:val="0"/>
        <w:color w:val="6E6E6E"/>
        <w:sz w:val="17"/>
      </w:rPr>
      <w:instrText xml:space="preserve">PAGE</w:instrText>
    </w:r>
    <w:r>
      <w:rPr>
        <w:rFonts w:ascii="Calibri" w:hAnsi="Calibri" w:eastAsia="Calibri"/>
        <w:b w:val="0"/>
        <w:i w:val="0"/>
        <w:color w:val="6E6E6E"/>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D9D9"/>
      </w:pBdr>
    </w:pPr>
    <w:r>
      <w:rPr>
        <w:rFonts w:ascii="Calibri" w:hAnsi="Calibri" w:eastAsia="Calibri"/>
        <w:b w:val="0"/>
        <w:i w:val="0"/>
        <w:color w:val="6E6E6E"/>
        <w:sz w:val="17"/>
      </w:rPr>
      <w:t>Victor-Strategies  |  Wisconsin Online Sports Betting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eastAsia="Georgia"/>
      <w:color w:val="3F3F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4212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F3F3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6E6E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6" w:lineRule="auto"/>
      <w:contextualSpacing/>
    </w:pPr>
    <w:rPr>
      <w:rFonts w:ascii="Georgia" w:hAnsi="Georgia"/>
      <w:color w:val="3F3F3F"/>
      <w:sz w:val="21"/>
    </w:rPr>
  </w:style>
  <w:style w:type="paragraph" w:styleId="ListBullet2">
    <w:name w:val="List Bullet 2"/>
    <w:basedOn w:val="Normal"/>
    <w:uiPriority w:val="99"/>
    <w:unhideWhenUsed/>
    <w:rsid w:val="00326F90"/>
    <w:pPr>
      <w:numPr>
        <w:numId w:val="2"/>
      </w:numPr>
      <w:spacing w:after="100" w:line="276" w:lineRule="auto"/>
      <w:contextualSpacing/>
    </w:pPr>
    <w:rPr>
      <w:rFonts w:ascii="Georgia" w:hAnsi="Georgia"/>
      <w:color w:val="3F3F3F"/>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ideagrowth.org/research/" TargetMode="External"/><Relationship Id="rId13" Type="http://schemas.openxmlformats.org/officeDocument/2006/relationships/hyperlink" Target="https://ideagrowth.org/wp-content/uploads/2020/01/Economic-Impact-of-NJ-iGaming_FULL-REPORT_12.19.19.pdf" TargetMode="External"/><Relationship Id="rId14" Type="http://schemas.openxmlformats.org/officeDocument/2006/relationships/hyperlink" Target="https://www.in.gov/igc/files/Indiana-SportsBettingReport-Final-Oct18-1.pdf" TargetMode="External"/><Relationship Id="rId15" Type="http://schemas.openxmlformats.org/officeDocument/2006/relationships/hyperlink" Target="https://sbcamericas.com/tag/the-more-you-know-the-bettor-defining-us-sports-betting-customer-personas/" TargetMode="External"/><Relationship Id="rId16" Type="http://schemas.openxmlformats.org/officeDocument/2006/relationships/hyperlink" Target="http://www.indiangaming.org/info/alerts/Spectrum-Internet-Paper.pdf" TargetMode="External"/><Relationship Id="rId17" Type="http://schemas.openxmlformats.org/officeDocument/2006/relationships/hyperlink" Target="https://www.in.gov/igc/publications/monthly-revenue/" TargetMode="External"/><Relationship Id="rId18" Type="http://schemas.openxmlformats.org/officeDocument/2006/relationships/hyperlink" Target="https://www.tandfonline.com/doi/abs/10.1080/14459795.2015.1042002" TargetMode="External"/><Relationship Id="rId19" Type="http://schemas.openxmlformats.org/officeDocument/2006/relationships/hyperlink" Target="http://www.intervistas.com/downloads/presentations/Economic_Impacts_of_Aviation_Catalytic_Impacts_MTR_20Sep2010.pdf" TargetMode="External"/><Relationship Id="rId20" Type="http://schemas.openxmlformats.org/officeDocument/2006/relationships/image" Target="media/image2.png"/><Relationship Id="rId21" Type="http://schemas.openxmlformats.org/officeDocument/2006/relationships/image" Target="media/image3.jpg"/><Relationship Id="rId22" Type="http://schemas.openxmlformats.org/officeDocument/2006/relationships/image" Target="media/image4.jpg"/><Relationship Id="rId23" Type="http://schemas.openxmlformats.org/officeDocument/2006/relationships/image" Target="media/image5.jpg"/><Relationship Id="rId24" Type="http://schemas.openxmlformats.org/officeDocument/2006/relationships/hyperlink" Target="http://www.indian.senate.gov/hearing/oversight-hearing-regulation-tribal-gaming-brick-mortar-internet" TargetMode="External"/><Relationship Id="rId25" Type="http://schemas.openxmlformats.org/officeDocument/2006/relationships/hyperlink" Target="http://www.masslottery.com/lib/downloads/leadership/pdfs/SpectrumGamingGroupFinalReport12-4-12Ammended.pdf" TargetMode="External"/><Relationship Id="rId26" Type="http://schemas.openxmlformats.org/officeDocument/2006/relationships/hyperlink" Target="https://ideagrowth.org/wp-content/uploads/iDEA-Economic-Impact-of-NJ-iGaming_FULL-REPORT_2019.pdf" TargetMode="External"/><Relationship Id="rId27" Type="http://schemas.openxmlformats.org/officeDocument/2006/relationships/hyperlink" Target="https://ideagrowth.org/wp-content/uploads/iDEA_Comprehensive-Analysis-of-NERA-Study_March-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Sports Betting in the State of Wisconsin — Data Analysis</dc:title>
  <dc:subject>Proposal to the Wisconsin Tribal Nations Advisory Working Group</dc:subject>
  <dc:creator>Victor-Strategies</dc:creator>
  <cp:keywords/>
  <dc:description>DRAFT 2 — Confidential. Prepared for the Wisconsin Tribal Nations Advisory Working Group.</dc:description>
  <cp:lastModifiedBy/>
  <cp:revision>1</cp:revision>
  <dcterms:created xsi:type="dcterms:W3CDTF">2013-12-23T23:15:00Z</dcterms:created>
  <dcterms:modified xsi:type="dcterms:W3CDTF">2013-12-23T23:15:00Z</dcterms:modified>
  <cp:category>Proposal</cp:category>
</cp:coreProperties>
</file>