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3291840" cy="1084595"/>
            <wp:docPr id="1" name="Picture 1"/>
            <wp:cNvGraphicFramePr>
              <a:graphicFrameLocks noChangeAspect="1"/>
            </wp:cNvGraphicFramePr>
            <a:graphic>
              <a:graphicData uri="http://schemas.openxmlformats.org/drawingml/2006/picture">
                <pic:pic>
                  <pic:nvPicPr>
                    <pic:cNvPr id="0" name="vs-logo.png"/>
                    <pic:cNvPicPr/>
                  </pic:nvPicPr>
                  <pic:blipFill>
                    <a:blip r:embed="rId11"/>
                    <a:stretch>
                      <a:fillRect/>
                    </a:stretch>
                  </pic:blipFill>
                  <pic:spPr>
                    <a:xfrm>
                      <a:off x="0" y="0"/>
                      <a:ext cx="3291840" cy="1084595"/>
                    </a:xfrm>
                    <a:prstGeom prst="rect"/>
                  </pic:spPr>
                </pic:pic>
              </a:graphicData>
            </a:graphic>
          </wp:inline>
        </w:drawing>
      </w:r>
    </w:p>
    <w:p/>
    <w:p/>
    <w:p>
      <w:pPr>
        <w:spacing w:after="80"/>
        <w:jc w:val="center"/>
      </w:pPr>
      <w:r>
        <w:rPr>
          <w:rFonts w:ascii="Calibri" w:hAnsi="Calibri" w:eastAsia="Calibri"/>
          <w:b/>
          <w:i w:val="0"/>
          <w:color w:val="3F3F3F"/>
          <w:sz w:val="52"/>
        </w:rPr>
        <w:t>Online Sports Betting in the State of Wisconsin</w:t>
      </w:r>
    </w:p>
    <w:p>
      <w:pPr>
        <w:spacing w:after="40"/>
        <w:jc w:val="center"/>
      </w:pPr>
      <w:r>
        <w:rPr>
          <w:rFonts w:ascii="Calibri" w:hAnsi="Calibri" w:eastAsia="Calibri"/>
          <w:b/>
          <w:i w:val="0"/>
          <w:color w:val="C42127"/>
          <w:sz w:val="36"/>
        </w:rPr>
        <w:t>Data Analysis</w:t>
      </w:r>
    </w:p>
    <w:p>
      <w:pPr>
        <w:jc w:val="center"/>
      </w:pPr>
      <w:r>
        <w:rPr>
          <w:rFonts w:ascii="Calibri" w:hAnsi="Calibri" w:eastAsia="Calibri"/>
          <w:b w:val="0"/>
          <w:i w:val="0"/>
          <w:color w:val="6E6E6E"/>
          <w:sz w:val="22"/>
        </w:rPr>
        <w:t>—  ❖  —</w:t>
      </w:r>
    </w:p>
    <w:p/>
    <w:p>
      <w:pPr>
        <w:spacing w:after="40"/>
        <w:jc w:val="center"/>
      </w:pPr>
      <w:r>
        <w:rPr>
          <w:rFonts w:ascii="Calibri" w:hAnsi="Calibri" w:eastAsia="Calibri"/>
          <w:b w:val="0"/>
          <w:i/>
          <w:color w:val="6E6E6E"/>
          <w:sz w:val="24"/>
        </w:rPr>
        <w:t>Prepared for</w:t>
      </w:r>
    </w:p>
    <w:p>
      <w:pPr>
        <w:jc w:val="center"/>
      </w:pPr>
      <w:r>
        <w:rPr>
          <w:rFonts w:ascii="Calibri" w:hAnsi="Calibri" w:eastAsia="Calibri"/>
          <w:b/>
          <w:i w:val="0"/>
          <w:color w:val="3F3F3F"/>
          <w:sz w:val="32"/>
        </w:rPr>
        <w:t>Wisconsin Tribal Nations</w:t>
        <w:br/>
        <w:t>Advisory Working Group</w:t>
      </w:r>
    </w:p>
    <w:p/>
    <w:p>
      <w:pPr>
        <w:jc w:val="center"/>
      </w:pPr>
      <w:r>
        <w:rPr>
          <w:rFonts w:ascii="Calibri" w:hAnsi="Calibri" w:eastAsia="Calibri"/>
          <w:b w:val="0"/>
          <w:i w:val="0"/>
          <w:color w:val="3F3F3F"/>
          <w:sz w:val="24"/>
        </w:rPr>
        <w:t>June 12, 2026</w:t>
      </w:r>
    </w:p>
    <w:p>
      <w:pPr>
        <w:jc w:val="center"/>
      </w:pPr>
      <w:r>
        <w:rPr>
          <w:rFonts w:ascii="Calibri" w:hAnsi="Calibri" w:eastAsia="Calibri"/>
          <w:b/>
          <w:i w:val="0"/>
          <w:caps/>
          <w:color w:val="C42127"/>
          <w:sz w:val="20"/>
        </w:rPr>
        <w:t>DRAFT — CONFIDENTIAL</w:t>
      </w:r>
    </w:p>
    <w:p>
      <w:r>
        <w:br w:type="page"/>
      </w:r>
    </w:p>
    <w:p>
      <w:pPr>
        <w:pBdr>
          <w:bottom w:val="single" w:sz="8" w:space="4" w:color="D9D9D9"/>
        </w:pBdr>
        <w:spacing w:after="200"/>
      </w:pPr>
      <w:r>
        <w:rPr>
          <w:rFonts w:ascii="Calibri" w:hAnsi="Calibri" w:eastAsia="Calibri"/>
          <w:b/>
          <w:i w:val="0"/>
          <w:color w:val="C42127"/>
          <w:sz w:val="32"/>
        </w:rPr>
        <w:t>Contents</w:t>
      </w:r>
    </w:p>
    <w:p>
      <w:r>
        <w:fldChar w:fldCharType="begin" w:dirty="true"/>
      </w:r>
      <w:r>
        <w:instrText xml:space="preserve">TOC \o "1-1" \h \z \u</w:instrText>
      </w:r>
      <w:r>
        <w:fldChar w:fldCharType="end"/>
      </w:r>
    </w:p>
    <w:p>
      <w:r>
        <w:rPr>
          <w:rFonts w:ascii="Georgia" w:hAnsi="Georgia" w:eastAsia="Georgia"/>
          <w:b w:val="0"/>
          <w:i/>
          <w:color w:val="6E6E6E"/>
          <w:sz w:val="17"/>
        </w:rPr>
        <w:t>If the table of contents does not display, right-click it and choose “Update Field.”</w:t>
      </w:r>
    </w:p>
    <w:p>
      <w:r>
        <w:br w:type="page"/>
      </w:r>
    </w:p>
    <w:p>
      <w:pPr>
        <w:pStyle w:val="Heading1"/>
        <w:pBdr>
          <w:bottom w:val="single" w:sz="8" w:space="4" w:color="D9D9D9"/>
        </w:pBdr>
      </w:pPr>
      <w:r>
        <w:t>A. Company Overview and Relevance of Work</w:t>
      </w:r>
    </w:p>
    <w:p>
      <w:pPr>
        <w:pStyle w:val="Heading2"/>
      </w:pPr>
      <w:r>
        <w:t>Company Overview</w:t>
      </w:r>
    </w:p>
    <w:p>
      <w:r>
        <w:rPr>
          <w:rFonts w:ascii="Georgia" w:hAnsi="Georgia" w:eastAsia="Georgia"/>
          <w:b w:val="0"/>
          <w:i w:val="0"/>
          <w:sz w:val="21"/>
        </w:rPr>
        <w:t>Victor-Strategies is a professional advisory firm providing expert services and critical business insights to the gaming industry, with a particular focus on Indian Country. We provide governments and industry leaders with the strategies, tools, data, and expertise essential for informed decision making and effective operations, supported by research and analysis capabilities of the highest quality.</w:t>
      </w:r>
    </w:p>
    <w:p>
      <w:r>
        <w:rPr>
          <w:rFonts w:ascii="Georgia" w:hAnsi="Georgia" w:eastAsia="Georgia"/>
          <w:b w:val="0"/>
          <w:i w:val="0"/>
          <w:sz w:val="21"/>
        </w:rPr>
        <w:t>Our business model is built on trusted-advisor relationships through which clients can draw on our broad network of strategic partners. That network offers expertise in tribal and commercial gaming — both land-based and interactive — as well as government policy and media strategy, and economic impact and development through conventional and emerging technologies.</w:t>
      </w:r>
    </w:p>
    <w:p>
      <w:r>
        <w:rPr>
          <w:rFonts w:ascii="Georgia" w:hAnsi="Georgia" w:eastAsia="Georgia"/>
          <w:b w:val="0"/>
          <w:i w:val="0"/>
          <w:sz w:val="21"/>
        </w:rPr>
        <w:t>Our principals are recognized thought leaders in the gaming industry and are committed to delivering maximum value to our clients. Our founder, Victor Rocha, serves as Conference Chairman of the Indian Gaming Association while leading Victor-Strategies as its president. He is also the owner and publisher of Pechanga.net, an online information resource for Native American tribes across North America, and has been deeply engaged in the political landscape of U.S. tribal gaming since 1998. Gene Johnson brings more than 35 years of gaming-industry experience spanning information technology, business process improvement, quality assurance, and strategic planning and analysis.</w:t>
      </w:r>
    </w:p>
    <w:p>
      <w:r>
        <w:rPr>
          <w:rFonts w:ascii="Georgia" w:hAnsi="Georgia" w:eastAsia="Georgia"/>
          <w:b w:val="0"/>
          <w:i w:val="0"/>
          <w:sz w:val="21"/>
        </w:rPr>
        <w:t>Since its founding in 2016, Victor-Strategies has conducted primary and secondary research for scores of clients in international markets and in more than thirty U.S. states. This research includes market sizing, revenue analysis, feasibility studies, economic impact, player behavior, gaming consumer research, and new gaming technology.</w:t>
      </w:r>
    </w:p>
    <w:p>
      <w:r>
        <w:rPr>
          <w:rFonts w:ascii="Georgia" w:hAnsi="Georgia" w:eastAsia="Georgia"/>
          <w:b w:val="0"/>
          <w:i w:val="0"/>
          <w:sz w:val="21"/>
        </w:rPr>
        <w:t>Most of our work is confidential and performed on behalf of our clients. Victor-Strategies has, however, published public-domain research, including a collaborative study on the economic impact of the New Jersey iGaming industry, and has conducted a substantial body of consumer research with casino players and sports betting customers in both on-premises and interactive wagering environments. Since the overturn of the Professional and Amateur Sports Protection Act (PASPA) in May 2018, Victor-Strategies has cumulatively interviewed more than 25,000 sports bettors across its client research projects. Selected publicly available examples include the following:</w:t>
      </w:r>
    </w:p>
    <w:p>
      <w:pPr>
        <w:pStyle w:val="ListBullet"/>
      </w:pPr>
      <w:hyperlink r:id="rId12">
        <w:r>
          <w:rPr>
            <w:rFonts w:ascii="Georgia" w:hAnsi="Georgia"/>
            <w:color w:val="1155CC"/>
            <w:sz w:val="19"/>
            <w:u w:val="single"/>
          </w:rPr>
          <w:t>https://ideagrowth.org/research/</w:t>
        </w:r>
      </w:hyperlink>
    </w:p>
    <w:p>
      <w:pPr>
        <w:pStyle w:val="ListBullet"/>
      </w:pPr>
      <w:hyperlink r:id="rId13">
        <w:r>
          <w:rPr>
            <w:rFonts w:ascii="Georgia" w:hAnsi="Georgia"/>
            <w:color w:val="1155CC"/>
            <w:sz w:val="19"/>
            <w:u w:val="single"/>
          </w:rPr>
          <w:t>https://ideagrowth.org/wp-content/uploads/2020/01/Economic-Impact-of-NJ-iGaming_FULL-REPORT_12.19.19.pdf</w:t>
        </w:r>
      </w:hyperlink>
    </w:p>
    <w:p>
      <w:pPr>
        <w:pStyle w:val="ListBullet"/>
      </w:pPr>
      <w:hyperlink r:id="rId14">
        <w:r>
          <w:rPr>
            <w:rFonts w:ascii="Georgia" w:hAnsi="Georgia"/>
            <w:color w:val="1155CC"/>
            <w:sz w:val="19"/>
            <w:u w:val="single"/>
          </w:rPr>
          <w:t>https://www.in.gov/igc/files/Indiana-SportsBettingReport-Final-Oct18-1.pdf</w:t>
        </w:r>
      </w:hyperlink>
    </w:p>
    <w:p>
      <w:pPr>
        <w:pStyle w:val="ListBullet"/>
      </w:pPr>
      <w:hyperlink r:id="rId15">
        <w:r>
          <w:rPr>
            <w:rFonts w:ascii="Georgia" w:hAnsi="Georgia"/>
            <w:color w:val="1155CC"/>
            <w:sz w:val="19"/>
            <w:u w:val="single"/>
          </w:rPr>
          <w:t>https://sbcamericas.com/tag/the-more-you-know-the-bettor-defining-us-sports-betting-customer-personas/</w:t>
        </w:r>
      </w:hyperlink>
    </w:p>
    <w:p>
      <w:pPr>
        <w:pStyle w:val="ListBullet"/>
      </w:pPr>
      <w:hyperlink r:id="rId16">
        <w:r>
          <w:rPr>
            <w:rFonts w:ascii="Georgia" w:hAnsi="Georgia"/>
            <w:color w:val="1155CC"/>
            <w:sz w:val="19"/>
            <w:u w:val="single"/>
          </w:rPr>
          <w:t>http://www.indiangaming.org/info/alerts/Spectrum-Internet-Paper.pdf</w:t>
        </w:r>
      </w:hyperlink>
    </w:p>
    <w:p>
      <w:pPr>
        <w:pStyle w:val="Heading2"/>
      </w:pPr>
      <w:r>
        <w:t>Respondent Qualifications</w:t>
      </w:r>
    </w:p>
    <w:p>
      <w:pPr>
        <w:pStyle w:val="ListBullet"/>
      </w:pPr>
      <w:r>
        <w:rPr>
          <w:rFonts w:ascii="Georgia" w:hAnsi="Georgia" w:eastAsia="Georgia"/>
          <w:b/>
          <w:i w:val="0"/>
          <w:sz w:val="21"/>
        </w:rPr>
        <w:t xml:space="preserve">1999–2006. </w:t>
      </w:r>
      <w:r>
        <w:rPr>
          <w:rFonts w:ascii="Georgia" w:hAnsi="Georgia" w:eastAsia="Georgia"/>
          <w:b w:val="0"/>
          <w:i w:val="0"/>
          <w:sz w:val="21"/>
        </w:rPr>
        <w:t>Mr. Johnson provided qualitative and quantitative research, analysis, and consulting services to international iGaming companies operating in the North American market, covering market sizing, player perceptions, attributes of attraction, player loyalty and satisfaction, new product development and testing, and website usability and application functionality. Results were used to identify opportunities, develop new games and applications, establish player loyalty and reward programs, and implement back-end deposit and redemption functions.</w:t>
      </w:r>
    </w:p>
    <w:p>
      <w:pPr>
        <w:pStyle w:val="ListBullet"/>
      </w:pPr>
      <w:r>
        <w:rPr>
          <w:rFonts w:ascii="Georgia" w:hAnsi="Georgia" w:eastAsia="Georgia"/>
          <w:b/>
          <w:i w:val="0"/>
          <w:sz w:val="21"/>
        </w:rPr>
        <w:t xml:space="preserve">2010. </w:t>
      </w:r>
      <w:r>
        <w:rPr>
          <w:rFonts w:ascii="Georgia" w:hAnsi="Georgia" w:eastAsia="Georgia"/>
          <w:b w:val="0"/>
          <w:i w:val="0"/>
          <w:sz w:val="21"/>
        </w:rPr>
        <w:t>While heading EE Johnson Research, Mr. Johnson was contracted by Spectrum Gaming Group to produce the 2010 Internet Gaming White Paper for the National Indian Gaming Association — a groundbreaking examination of the history, trends, and status of global Internet gaming prior to U.S. legalization that served as an educational template and operational blueprint for Native American and commercial casino operators considering domestic iGaming market entry.</w:t>
      </w:r>
    </w:p>
    <w:p>
      <w:pPr>
        <w:pStyle w:val="ListBullet"/>
      </w:pPr>
      <w:r>
        <w:rPr>
          <w:rFonts w:ascii="Georgia" w:hAnsi="Georgia" w:eastAsia="Georgia"/>
          <w:b/>
          <w:i w:val="0"/>
          <w:sz w:val="21"/>
        </w:rPr>
        <w:t xml:space="preserve">2012. </w:t>
      </w:r>
      <w:r>
        <w:rPr>
          <w:rFonts w:ascii="Georgia" w:hAnsi="Georgia" w:eastAsia="Georgia"/>
          <w:b w:val="0"/>
          <w:i w:val="0"/>
          <w:sz w:val="21"/>
        </w:rPr>
        <w:t>Mr. Johnson testified before the United States Senate Committee on Indian Affairs on the subject of Internet gambling regulation for Native American tribal governments.</w:t>
      </w:r>
    </w:p>
    <w:p>
      <w:pPr>
        <w:pStyle w:val="ListBullet"/>
      </w:pPr>
      <w:r>
        <w:rPr>
          <w:rFonts w:ascii="Georgia" w:hAnsi="Georgia" w:eastAsia="Georgia"/>
          <w:b/>
          <w:i w:val="0"/>
          <w:sz w:val="21"/>
        </w:rPr>
        <w:t xml:space="preserve">2012. </w:t>
      </w:r>
      <w:r>
        <w:rPr>
          <w:rFonts w:ascii="Georgia" w:hAnsi="Georgia" w:eastAsia="Georgia"/>
          <w:b w:val="0"/>
          <w:i w:val="0"/>
          <w:sz w:val="21"/>
        </w:rPr>
        <w:t>While with Spectrum, Mr. Johnson served as lead consultant to the Massachusetts State Lottery Commission's Online Products Task Force, which advised the State Treasurer on the potential for the Lottery — the most successful in the United States on a per-capita basis — to offer online wagering products while protecting the interests of its 7,400 retail outlets and the investment value of the soon-to-be-awarded commercial casino licenses. Mr. Johnson was a principal contributor to the resulting report, Facing the Lottery's Future: Implications and Strategies Regarding Internet Sales, which remains a blueprint for how U.S. state lotteries should approach Internet lottery operations.</w:t>
      </w:r>
    </w:p>
    <w:p>
      <w:pPr>
        <w:pStyle w:val="ListBullet"/>
      </w:pPr>
      <w:r>
        <w:rPr>
          <w:rFonts w:ascii="Georgia" w:hAnsi="Georgia" w:eastAsia="Georgia"/>
          <w:b/>
          <w:i w:val="0"/>
          <w:sz w:val="21"/>
        </w:rPr>
        <w:t xml:space="preserve">2012. </w:t>
      </w:r>
      <w:r>
        <w:rPr>
          <w:rFonts w:ascii="Georgia" w:hAnsi="Georgia" w:eastAsia="Georgia"/>
          <w:b w:val="0"/>
          <w:i w:val="0"/>
          <w:sz w:val="21"/>
        </w:rPr>
        <w:t>Mr. Johnson served as lead consultant and project manager for a major commercial cruise line exploring onboard iGaming operations in international waters. Deliverables included an articulated business model, projected revenues, a technical assessment, and a comprehensive vendor evaluation, in coordination with multiple international subcontractors.</w:t>
      </w:r>
    </w:p>
    <w:p>
      <w:pPr>
        <w:pStyle w:val="ListBullet"/>
      </w:pPr>
      <w:r>
        <w:rPr>
          <w:rFonts w:ascii="Georgia" w:hAnsi="Georgia" w:eastAsia="Georgia"/>
          <w:b/>
          <w:i w:val="0"/>
          <w:sz w:val="21"/>
        </w:rPr>
        <w:t xml:space="preserve">2013. </w:t>
      </w:r>
      <w:r>
        <w:rPr>
          <w:rFonts w:ascii="Georgia" w:hAnsi="Georgia" w:eastAsia="Georgia"/>
          <w:b w:val="0"/>
          <w:i w:val="0"/>
          <w:sz w:val="21"/>
        </w:rPr>
        <w:t>Mr. Johnson analyzed the California Internet poker market for a major Native American tribal casino consortium, including population statistics, market sizing and demographic profiling of potential players, projected revenues by poker vertical, optimal taxation rates based on a survey of legal Internet poker jurisdictions worldwide, and a global regulatory overview. The results were used to frame policy decisions by the consortium of tribal governments.</w:t>
      </w:r>
    </w:p>
    <w:p>
      <w:pPr>
        <w:pStyle w:val="ListBullet"/>
      </w:pPr>
      <w:r>
        <w:rPr>
          <w:rFonts w:ascii="Georgia" w:hAnsi="Georgia" w:eastAsia="Georgia"/>
          <w:b/>
          <w:i w:val="0"/>
          <w:sz w:val="21"/>
        </w:rPr>
        <w:t xml:space="preserve">2014–2016. </w:t>
      </w:r>
      <w:r>
        <w:rPr>
          <w:rFonts w:ascii="Georgia" w:hAnsi="Georgia" w:eastAsia="Georgia"/>
          <w:b w:val="0"/>
          <w:i w:val="0"/>
          <w:sz w:val="21"/>
        </w:rPr>
        <w:t>Mr. Johnson designed the content and structure of the opening half-day iGaming session for the East Coast Gaming Congress and iGaming Institute in Atlantic City, New Jersey, and moderated each year's panel on the progress of iGaming in New Jersey, the most successful legal U.S. jurisdiction.</w:t>
      </w:r>
    </w:p>
    <w:p>
      <w:pPr>
        <w:pStyle w:val="ListBullet"/>
      </w:pPr>
      <w:r>
        <w:rPr>
          <w:rFonts w:ascii="Georgia" w:hAnsi="Georgia" w:eastAsia="Georgia"/>
          <w:b/>
          <w:i w:val="0"/>
          <w:sz w:val="21"/>
        </w:rPr>
        <w:t xml:space="preserve">2014. </w:t>
      </w:r>
      <w:r>
        <w:rPr>
          <w:rFonts w:ascii="Georgia" w:hAnsi="Georgia" w:eastAsia="Georgia"/>
          <w:b w:val="0"/>
          <w:i w:val="0"/>
          <w:sz w:val="21"/>
        </w:rPr>
        <w:t>Mr. Johnson served as lead consultant in a market study and the development of a market-entry and rollout strategy for a major U.S. territory exploring iGaming operations.</w:t>
      </w:r>
    </w:p>
    <w:p>
      <w:pPr>
        <w:pStyle w:val="ListBullet"/>
      </w:pPr>
      <w:r>
        <w:rPr>
          <w:rFonts w:ascii="Georgia" w:hAnsi="Georgia" w:eastAsia="Georgia"/>
          <w:b/>
          <w:i w:val="0"/>
          <w:sz w:val="21"/>
        </w:rPr>
        <w:t xml:space="preserve">2014. </w:t>
      </w:r>
      <w:r>
        <w:rPr>
          <w:rFonts w:ascii="Georgia" w:hAnsi="Georgia" w:eastAsia="Georgia"/>
          <w:b w:val="0"/>
          <w:i w:val="0"/>
          <w:sz w:val="21"/>
        </w:rPr>
        <w:t>Mr. Johnson served as Spectrum Gaming Group's lead consultant in two engagements for casino license applicants under New York's Upstate Gaming Economic Development Act of 2013, leading a team of subject matter experts in preparing license submissions for clients in the Capital and Hudson River districts and participating in the selection process before the New York State Gaming Commission's Gaming Facility Location Board.</w:t>
      </w:r>
    </w:p>
    <w:p>
      <w:pPr>
        <w:pStyle w:val="ListBullet"/>
      </w:pPr>
      <w:r>
        <w:rPr>
          <w:rFonts w:ascii="Georgia" w:hAnsi="Georgia" w:eastAsia="Georgia"/>
          <w:b/>
          <w:i w:val="0"/>
          <w:sz w:val="21"/>
        </w:rPr>
        <w:t xml:space="preserve">2015. </w:t>
      </w:r>
      <w:r>
        <w:rPr>
          <w:rFonts w:ascii="Georgia" w:hAnsi="Georgia" w:eastAsia="Georgia"/>
          <w:b w:val="0"/>
          <w:i w:val="0"/>
          <w:sz w:val="21"/>
        </w:rPr>
        <w:t>Mr. Johnson conducted player research for a Native American operator of five casinos, including two with hotels, in the Great Lakes region. Objectives included a customer assessment profiling perceptions of the property ahead of a major refresh, calculating marketing return on investment, and differentiating the attraction of casino marketing offers from hotel, food and beverage, and spa offers.</w:t>
      </w:r>
    </w:p>
    <w:p>
      <w:pPr>
        <w:pStyle w:val="ListBullet"/>
      </w:pPr>
      <w:r>
        <w:rPr>
          <w:rFonts w:ascii="Georgia" w:hAnsi="Georgia" w:eastAsia="Georgia"/>
          <w:b/>
          <w:i w:val="0"/>
          <w:sz w:val="21"/>
        </w:rPr>
        <w:t xml:space="preserve">2016. </w:t>
      </w:r>
      <w:r>
        <w:rPr>
          <w:rFonts w:ascii="Georgia" w:hAnsi="Georgia" w:eastAsia="Georgia"/>
          <w:b w:val="0"/>
          <w:i w:val="0"/>
          <w:sz w:val="21"/>
        </w:rPr>
        <w:t>Victor-Strategies conducted a competitive analysis of the Central New Mexico market for a leading tribal casino operator, measuring the effect of competitor hotel additions and expansions on visitation to the client's property in a highly competitive regional marketplace.</w:t>
      </w:r>
    </w:p>
    <w:p>
      <w:pPr>
        <w:pStyle w:val="ListBullet"/>
      </w:pPr>
      <w:r>
        <w:rPr>
          <w:rFonts w:ascii="Georgia" w:hAnsi="Georgia" w:eastAsia="Georgia"/>
          <w:b/>
          <w:i w:val="0"/>
          <w:sz w:val="21"/>
        </w:rPr>
        <w:t xml:space="preserve">2017. </w:t>
      </w:r>
      <w:r>
        <w:rPr>
          <w:rFonts w:ascii="Georgia" w:hAnsi="Georgia" w:eastAsia="Georgia"/>
          <w:b w:val="0"/>
          <w:i w:val="0"/>
          <w:sz w:val="21"/>
        </w:rPr>
        <w:t>Victor-Strategies was engaged by an upstate New York casino operator to quantify the total available market for sports wagering in New York State, generate statewide and property-specific revenue estimates, and develop a mobile and retail sports betting model.</w:t>
      </w:r>
    </w:p>
    <w:p>
      <w:pPr>
        <w:pStyle w:val="ListBullet"/>
      </w:pPr>
      <w:r>
        <w:rPr>
          <w:rFonts w:ascii="Georgia" w:hAnsi="Georgia" w:eastAsia="Georgia"/>
          <w:b/>
          <w:i w:val="0"/>
          <w:sz w:val="21"/>
        </w:rPr>
        <w:t xml:space="preserve">2018. </w:t>
      </w:r>
      <w:r>
        <w:rPr>
          <w:rFonts w:ascii="Georgia" w:hAnsi="Georgia" w:eastAsia="Georgia"/>
          <w:b w:val="0"/>
          <w:i w:val="0"/>
          <w:sz w:val="21"/>
        </w:rPr>
        <w:t>Victor-Strategies authored Sports Betting and Indian Gaming, an informational white paper on the potential for legalized sports betting in Indian Country, for a major slot manufacturer. The study was distributed to select clients shortly after the overturn of PASPA in May 2018.</w:t>
      </w:r>
    </w:p>
    <w:p>
      <w:pPr>
        <w:pStyle w:val="ListBullet"/>
      </w:pPr>
      <w:r>
        <w:rPr>
          <w:rFonts w:ascii="Georgia" w:hAnsi="Georgia" w:eastAsia="Georgia"/>
          <w:b/>
          <w:i w:val="0"/>
          <w:sz w:val="21"/>
        </w:rPr>
        <w:t xml:space="preserve">2018. </w:t>
      </w:r>
      <w:r>
        <w:rPr>
          <w:rFonts w:ascii="Georgia" w:hAnsi="Georgia" w:eastAsia="Georgia"/>
          <w:b w:val="0"/>
          <w:i w:val="0"/>
          <w:sz w:val="21"/>
        </w:rPr>
        <w:t>Victor-Strategies partnered with Alan Meister of Meister Economic Consulting to produce the Economic Impact of New Jersey Online Gaming for iDEA (Interactive Digital Entertainment Association). Updated in 2020 to incorporate six years of regulated-market data, the study documented New Jersey iGaming's history, operational structure, job creation, tax revenue, and relationship to land-based casino performance, and became a widely referenced document in state iGaming legalization debates.</w:t>
      </w:r>
    </w:p>
    <w:p>
      <w:pPr>
        <w:pStyle w:val="ListBullet"/>
      </w:pPr>
      <w:r>
        <w:rPr>
          <w:rFonts w:ascii="Georgia" w:hAnsi="Georgia" w:eastAsia="Georgia"/>
          <w:b/>
          <w:i w:val="0"/>
          <w:sz w:val="21"/>
        </w:rPr>
        <w:t xml:space="preserve">2018–2020. </w:t>
      </w:r>
      <w:r>
        <w:rPr>
          <w:rFonts w:ascii="Georgia" w:hAnsi="Georgia" w:eastAsia="Georgia"/>
          <w:b w:val="0"/>
          <w:i w:val="0"/>
          <w:sz w:val="21"/>
        </w:rPr>
        <w:t>Victor-Strategies advised a domestic start-up offering micro-betting products on its U.S. market rollout strategy. The engagement concluded when the client was acquired by a major U.S. sports betting operator.</w:t>
      </w:r>
    </w:p>
    <w:p>
      <w:pPr>
        <w:pStyle w:val="ListBullet"/>
      </w:pPr>
      <w:r>
        <w:rPr>
          <w:rFonts w:ascii="Georgia" w:hAnsi="Georgia" w:eastAsia="Georgia"/>
          <w:b/>
          <w:i w:val="0"/>
          <w:sz w:val="21"/>
        </w:rPr>
        <w:t xml:space="preserve">2018–2021. </w:t>
      </w:r>
      <w:r>
        <w:rPr>
          <w:rFonts w:ascii="Georgia" w:hAnsi="Georgia" w:eastAsia="Georgia"/>
          <w:b w:val="0"/>
          <w:i w:val="0"/>
          <w:sz w:val="21"/>
        </w:rPr>
        <w:t>Over three years, Victor-Strategies advised the Choctaw Nation of Oklahoma on the tribe's white-label sports betting initiatives, delivering a regional market study, an online sports betting model with a 10-year revenue forecast, a retail sports betting forecast, and an economic impact analysis. V-S also conducted a survey of more than 3,000 database customers and non-customers across Oklahoma and Texas profiling betting behavior, attitudes toward legalization, and demographics — which showed that a significant share of casino players were actively betting on sports in states where the practice had yet to be legalized.</w:t>
      </w:r>
    </w:p>
    <w:p>
      <w:pPr>
        <w:pStyle w:val="ListBullet"/>
      </w:pPr>
      <w:r>
        <w:rPr>
          <w:rFonts w:ascii="Georgia" w:hAnsi="Georgia" w:eastAsia="Georgia"/>
          <w:b/>
          <w:i w:val="0"/>
          <w:sz w:val="21"/>
        </w:rPr>
        <w:t xml:space="preserve">Since 2018. </w:t>
      </w:r>
      <w:r>
        <w:rPr>
          <w:rFonts w:ascii="Georgia" w:hAnsi="Georgia" w:eastAsia="Georgia"/>
          <w:b w:val="0"/>
          <w:i w:val="0"/>
          <w:sz w:val="21"/>
        </w:rPr>
        <w:t>Victor-Strategies has partnered with Eilers &amp; Krejcik Gaming on multiple national and statewide research projects involving online sports betting market sizing, industry profiles, and gaming consumer research. Publicly available reports are linked at the beginning of this section.</w:t>
      </w:r>
    </w:p>
    <w:p>
      <w:pPr>
        <w:pStyle w:val="ListBullet"/>
      </w:pPr>
      <w:r>
        <w:rPr>
          <w:rFonts w:ascii="Georgia" w:hAnsi="Georgia" w:eastAsia="Georgia"/>
          <w:b/>
          <w:i w:val="0"/>
          <w:sz w:val="21"/>
        </w:rPr>
        <w:t xml:space="preserve">2019–2022. </w:t>
      </w:r>
      <w:r>
        <w:rPr>
          <w:rFonts w:ascii="Georgia" w:hAnsi="Georgia" w:eastAsia="Georgia"/>
          <w:b w:val="0"/>
          <w:i w:val="0"/>
          <w:sz w:val="21"/>
        </w:rPr>
        <w:t>Over three years, Victor-Strategies advised a major Scandinavian sports betting operator on the development and rollout of its online sports wagering product in the U.S. market, including competitive intelligence and assessment of more than a dozen sports betting apps across multiple states, and consumer research with sports bettors to test the user interface and develop an Americanized wagering application.</w:t>
      </w:r>
    </w:p>
    <w:p>
      <w:pPr>
        <w:pStyle w:val="ListBullet"/>
      </w:pPr>
      <w:r>
        <w:rPr>
          <w:rFonts w:ascii="Georgia" w:hAnsi="Georgia" w:eastAsia="Georgia"/>
          <w:b/>
          <w:i w:val="0"/>
          <w:sz w:val="21"/>
        </w:rPr>
        <w:t xml:space="preserve">2019. </w:t>
      </w:r>
      <w:r>
        <w:rPr>
          <w:rFonts w:ascii="Georgia" w:hAnsi="Georgia" w:eastAsia="Georgia"/>
          <w:b w:val="0"/>
          <w:i w:val="0"/>
          <w:sz w:val="21"/>
        </w:rPr>
        <w:t>Victor-Strategies conducted a market evaluation of sports betting feasibility in Arkansas, including statewide and property-specific handle and revenue forecasts.</w:t>
      </w:r>
    </w:p>
    <w:p>
      <w:pPr>
        <w:pStyle w:val="ListBullet"/>
      </w:pPr>
      <w:r>
        <w:rPr>
          <w:rFonts w:ascii="Georgia" w:hAnsi="Georgia" w:eastAsia="Georgia"/>
          <w:b/>
          <w:i w:val="0"/>
          <w:sz w:val="21"/>
        </w:rPr>
        <w:t xml:space="preserve">Since 2022. </w:t>
      </w:r>
      <w:r>
        <w:rPr>
          <w:rFonts w:ascii="Georgia" w:hAnsi="Georgia" w:eastAsia="Georgia"/>
          <w:b w:val="0"/>
          <w:i w:val="0"/>
          <w:sz w:val="21"/>
        </w:rPr>
        <w:t>Victor-Strategies has advised a tribal gaming client in Minnesota on the legislative outlook, revenue opportunities, and operational requirements for legalized sports wagering, developing multiple market-sizing, handle, and revenue estimates for both mobile and retail sports betting, adjusted to each session's legislative proposals.</w:t>
      </w:r>
    </w:p>
    <w:p>
      <w:pPr>
        <w:pStyle w:val="ListBullet"/>
      </w:pPr>
      <w:r>
        <w:rPr>
          <w:rFonts w:ascii="Georgia" w:hAnsi="Georgia" w:eastAsia="Georgia"/>
          <w:b/>
          <w:i w:val="0"/>
          <w:sz w:val="21"/>
        </w:rPr>
        <w:t xml:space="preserve">2023–2025. </w:t>
      </w:r>
      <w:r>
        <w:rPr>
          <w:rFonts w:ascii="Georgia" w:hAnsi="Georgia" w:eastAsia="Georgia"/>
          <w:b w:val="0"/>
          <w:i w:val="0"/>
          <w:sz w:val="21"/>
        </w:rPr>
        <w:t>Victor-Strategies executed a two-year engagement with a major international provider of sports betting data, platforms, and player account management (PAM) systems, providing strategic advisory services during U.S. market entry and monthly reports on developments in the U.S. sports wagering market, with particular attention to tribal government gaming.</w:t>
      </w:r>
    </w:p>
    <w:p>
      <w:pPr>
        <w:pStyle w:val="ListBullet"/>
      </w:pPr>
      <w:r>
        <w:rPr>
          <w:rFonts w:ascii="Georgia" w:hAnsi="Georgia" w:eastAsia="Georgia"/>
          <w:b/>
          <w:i w:val="0"/>
          <w:sz w:val="21"/>
        </w:rPr>
        <w:t xml:space="preserve">2024. </w:t>
      </w:r>
      <w:r>
        <w:rPr>
          <w:rFonts w:ascii="Georgia" w:hAnsi="Georgia" w:eastAsia="Georgia"/>
          <w:b w:val="0"/>
          <w:i w:val="0"/>
          <w:sz w:val="21"/>
        </w:rPr>
        <w:t>Victor-Strategies collaborated with Alan Meister of Meister Economic Consulting, Doug Walker, and Dan Waugh of Regulus Partners to produce A Comprehensive Analysis of NERA's Study on New Jersey's iGaming Economic Impact, a rebuttal to a flawed report funded by the Campaign for Fairer Gambling that disputed the findings of our earlier New Jersey economic impact study.</w:t>
      </w:r>
    </w:p>
    <w:p>
      <w:pPr>
        <w:pStyle w:val="ListBullet"/>
      </w:pPr>
      <w:r>
        <w:rPr>
          <w:rFonts w:ascii="Georgia" w:hAnsi="Georgia" w:eastAsia="Georgia"/>
          <w:b/>
          <w:i w:val="0"/>
          <w:sz w:val="21"/>
        </w:rPr>
        <w:t xml:space="preserve">2025. </w:t>
      </w:r>
      <w:r>
        <w:rPr>
          <w:rFonts w:ascii="Georgia" w:hAnsi="Georgia" w:eastAsia="Georgia"/>
          <w:b w:val="0"/>
          <w:i w:val="0"/>
          <w:sz w:val="21"/>
        </w:rPr>
        <w:t>Victor-Strategies conducted a sports betting feasibility study for one of the successful bidders in the New York City casino license competition, including statewide and property-specific 10-year handle and revenue forecasts.</w:t>
      </w:r>
    </w:p>
    <w:p>
      <w:pPr>
        <w:pStyle w:val="ListBullet"/>
      </w:pPr>
      <w:r>
        <w:rPr>
          <w:rFonts w:ascii="Georgia" w:hAnsi="Georgia" w:eastAsia="Georgia"/>
          <w:b/>
          <w:i w:val="0"/>
          <w:sz w:val="21"/>
        </w:rPr>
        <w:t xml:space="preserve">2025. </w:t>
      </w:r>
      <w:r>
        <w:rPr>
          <w:rFonts w:ascii="Georgia" w:hAnsi="Georgia" w:eastAsia="Georgia"/>
          <w:b w:val="0"/>
          <w:i w:val="0"/>
          <w:sz w:val="21"/>
        </w:rPr>
        <w:t>Victor-Strategies was engaged by Barclay Damon as an expert witness in its lawsuit on behalf of the Cayuga Nation against the New York Lottery, producing an expert witness report on the classification of lottery offerings as Class III gaming on Indian lands, which is impermissible under the Indian Gaming Regulatory Act (IGRA).</w:t>
      </w:r>
    </w:p>
    <w:p>
      <w:pPr>
        <w:pStyle w:val="ListBullet"/>
      </w:pPr>
      <w:r>
        <w:rPr>
          <w:rFonts w:ascii="Georgia" w:hAnsi="Georgia" w:eastAsia="Georgia"/>
          <w:b/>
          <w:i w:val="0"/>
          <w:sz w:val="21"/>
        </w:rPr>
        <w:t xml:space="preserve">2026. </w:t>
      </w:r>
      <w:r>
        <w:rPr>
          <w:rFonts w:ascii="Georgia" w:hAnsi="Georgia" w:eastAsia="Georgia"/>
          <w:b w:val="0"/>
          <w:i w:val="0"/>
          <w:sz w:val="21"/>
        </w:rPr>
        <w:t>Victor-Strategies conducted a sports betting feasibility study for a tribal gaming client in Minnesota, including statewide and property-specific five-year handle and revenue forecasts.</w:t>
      </w:r>
    </w:p>
    <w:p>
      <w:r>
        <w:rPr>
          <w:rFonts w:ascii="Georgia" w:hAnsi="Georgia" w:eastAsia="Georgia"/>
          <w:b/>
          <w:i w:val="0"/>
          <w:sz w:val="19"/>
        </w:rPr>
        <w:t xml:space="preserve">Reference links: </w:t>
      </w:r>
      <w:r>
        <w:rPr>
          <w:rFonts w:ascii="Georgia" w:hAnsi="Georgia" w:eastAsia="Georgia"/>
          <w:b w:val="0"/>
          <w:i w:val="0"/>
          <w:sz w:val="19"/>
        </w:rPr>
        <w:t xml:space="preserve">2010 Internet Gaming White Paper — </w:t>
      </w:r>
      <w:hyperlink r:id="rId16">
        <w:r>
          <w:rPr>
            <w:rFonts w:ascii="Georgia" w:hAnsi="Georgia"/>
            <w:color w:val="1155CC"/>
            <w:sz w:val="19"/>
            <w:u w:val="single"/>
          </w:rPr>
          <w:t>http://www.indiangaming.org/info/alerts/Spectrum-Internet-Paper.pdf</w:t>
        </w:r>
      </w:hyperlink>
      <w:r>
        <w:rPr>
          <w:rFonts w:ascii="Georgia" w:hAnsi="Georgia" w:eastAsia="Georgia"/>
          <w:b w:val="0"/>
          <w:i w:val="0"/>
          <w:sz w:val="19"/>
        </w:rPr>
        <w:t xml:space="preserve">;  2012 Senate testimony — </w:t>
      </w:r>
      <w:hyperlink r:id="rId17">
        <w:r>
          <w:rPr>
            <w:rFonts w:ascii="Georgia" w:hAnsi="Georgia"/>
            <w:color w:val="1155CC"/>
            <w:sz w:val="19"/>
            <w:u w:val="single"/>
          </w:rPr>
          <w:t>http://www.indian.senate.gov/hearing/oversight-hearing-regulation-tribal-gaming-brick-mortar-internet</w:t>
        </w:r>
      </w:hyperlink>
      <w:r>
        <w:rPr>
          <w:rFonts w:ascii="Georgia" w:hAnsi="Georgia" w:eastAsia="Georgia"/>
          <w:b w:val="0"/>
          <w:i w:val="0"/>
          <w:sz w:val="19"/>
        </w:rPr>
        <w:t xml:space="preserve">;  Massachusetts Lottery report — </w:t>
      </w:r>
      <w:hyperlink r:id="rId18">
        <w:r>
          <w:rPr>
            <w:rFonts w:ascii="Georgia" w:hAnsi="Georgia"/>
            <w:color w:val="1155CC"/>
            <w:sz w:val="19"/>
            <w:u w:val="single"/>
          </w:rPr>
          <w:t>http://www.masslottery.com/lib/downloads/leadership/pdfs/SpectrumGamingGroupFinalReport12-4-12Ammended.pdf</w:t>
        </w:r>
      </w:hyperlink>
      <w:r>
        <w:rPr>
          <w:rFonts w:ascii="Georgia" w:hAnsi="Georgia" w:eastAsia="Georgia"/>
          <w:b w:val="0"/>
          <w:i w:val="0"/>
          <w:sz w:val="19"/>
        </w:rPr>
        <w:t xml:space="preserve">;  New Jersey iGaming study — </w:t>
      </w:r>
      <w:hyperlink r:id="rId19">
        <w:r>
          <w:rPr>
            <w:rFonts w:ascii="Georgia" w:hAnsi="Georgia"/>
            <w:color w:val="1155CC"/>
            <w:sz w:val="19"/>
            <w:u w:val="single"/>
          </w:rPr>
          <w:t>https://ideagrowth.org/wp-content/uploads/iDEA-Economic-Impact-of-NJ-iGaming_FULL-REPORT_2019.pdf</w:t>
        </w:r>
      </w:hyperlink>
      <w:r>
        <w:rPr>
          <w:rFonts w:ascii="Georgia" w:hAnsi="Georgia" w:eastAsia="Georgia"/>
          <w:b w:val="0"/>
          <w:i w:val="0"/>
          <w:sz w:val="19"/>
        </w:rPr>
        <w:t xml:space="preserve">;  NERA rebuttal — </w:t>
      </w:r>
      <w:hyperlink r:id="rId20">
        <w:r>
          <w:rPr>
            <w:rFonts w:ascii="Georgia" w:hAnsi="Georgia"/>
            <w:color w:val="1155CC"/>
            <w:sz w:val="19"/>
            <w:u w:val="single"/>
          </w:rPr>
          <w:t>https://ideagrowth.org/wp-content/uploads/iDEA_Comprehensive-Analysis-of-NERA-Study_March-2024.pdf</w:t>
        </w:r>
      </w:hyperlink>
      <w:r>
        <w:rPr>
          <w:rFonts w:ascii="Georgia" w:hAnsi="Georgia" w:eastAsia="Georgia"/>
          <w:b w:val="0"/>
          <w:i w:val="0"/>
          <w:sz w:val="19"/>
        </w:rPr>
        <w:t>.</w:t>
      </w:r>
    </w:p>
    <w:p>
      <w:r>
        <w:rPr>
          <w:rFonts w:ascii="Georgia" w:hAnsi="Georgia" w:eastAsia="Georgia"/>
          <w:b w:val="0"/>
          <w:i w:val="0"/>
          <w:sz w:val="21"/>
        </w:rPr>
        <w:t>Victor-Strategies and the associates assembled for this proposal have demonstrated extensive experience in sports betting market analysis. We are familiar with IGRA Class III compact structures and tribal revenue-sharing frameworks. We have no current relationships with any of the 11 Wisconsin tribes and no current financial relationship with proponents of either model under review.</w:t>
      </w:r>
    </w:p>
    <w:p>
      <w:pPr>
        <w:pStyle w:val="Heading1"/>
        <w:pageBreakBefore/>
        <w:pBdr>
          <w:bottom w:val="single" w:sz="8" w:space="4" w:color="D9D9D9"/>
        </w:pBdr>
      </w:pPr>
      <w:r>
        <w:t>B. Phase I — Market Assessment and Data Validation</w:t>
      </w:r>
    </w:p>
    <w:p>
      <w:r>
        <w:rPr>
          <w:rFonts w:ascii="Georgia" w:hAnsi="Georgia" w:eastAsia="Georgia"/>
          <w:b w:val="0"/>
          <w:i w:val="0"/>
          <w:sz w:val="21"/>
        </w:rPr>
        <w:t>Victor-Strategies and its team of expert associates will develop an independent statewide online/mobile sports betting model forecasting handle and revenue over a 10-year period. The revenue estimate will incorporate assumptions about expected future trends and the cannibalization effects of new gaming verticals, including social sports sites and — most importantly — prediction markets.</w:t>
      </w:r>
    </w:p>
    <w:p>
      <w:pPr>
        <w:pStyle w:val="Heading2"/>
      </w:pPr>
      <w:r>
        <w:t>Approach and Methodology</w:t>
      </w:r>
    </w:p>
    <w:p>
      <w:pPr>
        <w:pStyle w:val="Heading3"/>
      </w:pPr>
      <w:r>
        <w:t>Wisconsin Mobile Sports Betting Market Size (RFP §8.1.1)</w:t>
      </w:r>
    </w:p>
    <w:p>
      <w:r>
        <w:rPr>
          <w:rFonts w:ascii="Georgia" w:hAnsi="Georgia" w:eastAsia="Georgia"/>
          <w:b w:val="0"/>
          <w:i w:val="0"/>
          <w:sz w:val="21"/>
        </w:rPr>
        <w:t>We will use historical data from states where sports betting is legal to develop comparison metrics for Wisconsin, qualifying those comparisons with demographic statistics including adult population, median and average household income, and consumer purchasing power. The most important comparison metric will be revenue per adult (RPA) — gross gaming revenue (GGR) per adult (21+) — which can be compared directly with states having similar legalization regimes, populations, and income demographics.</w:t>
      </w:r>
    </w:p>
    <w:p>
      <w:r>
        <w:rPr>
          <w:rFonts w:ascii="Georgia" w:hAnsi="Georgia" w:eastAsia="Georgia"/>
          <w:b w:val="0"/>
          <w:i w:val="0"/>
          <w:sz w:val="21"/>
        </w:rPr>
        <w:t>Alfonso Straffon, an expert associate on this engagement, maintains a proprietary database of online sports betting statistics used by Wall Street investment firms. This data will support our independent revenue forecast and serve as a check on the existing revenue models under review.</w:t>
      </w:r>
    </w:p>
    <w:p>
      <w:r>
        <w:rPr>
          <w:rFonts w:ascii="Georgia" w:hAnsi="Georgia" w:eastAsia="Georgia"/>
          <w:b w:val="0"/>
          <w:i w:val="0"/>
          <w:sz w:val="21"/>
        </w:rPr>
        <w:t>Demand-based modeling will be used to estimate potential retail sports betting revenue based on current and future population demographics, gambling penetration, propensity to gamble, and the expected effects of increased regional competition for each of the 11 Indian tribes of Wisconsin.</w:t>
      </w:r>
    </w:p>
    <w:p>
      <w:r>
        <w:rPr>
          <w:rFonts w:ascii="Georgia" w:hAnsi="Georgia" w:eastAsia="Georgia"/>
          <w:b w:val="0"/>
          <w:i w:val="0"/>
          <w:sz w:val="21"/>
        </w:rPr>
        <w:t>Specifically, Victor-Strategies will develop reasonable assumptions for the likely evolution of the statewide sports wagering market over the next ten years and chart its likely trajectory. Because the Wisconsin legalization model is a version of hub-and-spoke featuring tribal exclusivity, we will apply a discount when comparing to commercial online sports betting (OSB) states where national brands face unrestricted competition.</w:t>
      </w:r>
    </w:p>
    <w:p>
      <w:r>
        <w:rPr>
          <w:rFonts w:ascii="Georgia" w:hAnsi="Georgia" w:eastAsia="Georgia"/>
          <w:b w:val="0"/>
          <w:i w:val="0"/>
          <w:sz w:val="21"/>
        </w:rPr>
        <w:t>In accordance with the RFP instructions, our independent model will include a sensitivity analysis at multiple discount levels to establish a range of plausible market outcomes. We will also review the potential tribal-operator-only market size with no promotional restrictions versus a 30 percent promotional restriction.</w:t>
      </w:r>
    </w:p>
    <w:p>
      <w:pPr>
        <w:pStyle w:val="Heading3"/>
      </w:pPr>
      <w:r>
        <w:t>Data Accuracy Review (RFP §8.1.2)</w:t>
      </w:r>
    </w:p>
    <w:p>
      <w:r>
        <w:rPr>
          <w:rFonts w:ascii="Georgia" w:hAnsi="Georgia" w:eastAsia="Georgia"/>
          <w:b w:val="0"/>
          <w:i w:val="0"/>
          <w:sz w:val="21"/>
        </w:rPr>
        <w:t>As instructed in the RFP, Victor-Strategies will conduct a data accuracy review, evaluating the accuracy, completeness, and reliability of all submitted raw data and identifying inconsistencies, unsupported assumptions, and material gaps. Our independent revenue model and proprietary database will provide the basis for evaluating the data and assumptions underlying the other models.</w:t>
      </w:r>
    </w:p>
    <w:p>
      <w:r>
        <w:rPr>
          <w:rFonts w:ascii="Georgia" w:hAnsi="Georgia" w:eastAsia="Georgia"/>
          <w:b w:val="0"/>
          <w:i w:val="0"/>
          <w:sz w:val="21"/>
        </w:rPr>
        <w:t>Ideally, the Phase I independent statewide revenue model will be completed before we review the existing models' accuracy and assumptions; client timelines will determine our actual sequencing.</w:t>
      </w:r>
    </w:p>
    <w:p>
      <w:pPr>
        <w:pStyle w:val="Heading2"/>
      </w:pPr>
      <w:r>
        <w:t>Phase I Deliverables (RFP §8.1.3)</w:t>
      </w:r>
    </w:p>
    <w:p>
      <w:pPr>
        <w:pStyle w:val="ListBullet"/>
      </w:pPr>
      <w:r>
        <w:rPr>
          <w:rFonts w:ascii="Georgia" w:hAnsi="Georgia" w:eastAsia="Georgia"/>
          <w:b w:val="0"/>
          <w:i w:val="0"/>
          <w:sz w:val="21"/>
        </w:rPr>
        <w:t>Market-sizing summary with GGR estimates and documented assumptions.</w:t>
      </w:r>
    </w:p>
    <w:p>
      <w:pPr>
        <w:pStyle w:val="ListBullet"/>
      </w:pPr>
      <w:r>
        <w:rPr>
          <w:rFonts w:ascii="Georgia" w:hAnsi="Georgia" w:eastAsia="Georgia"/>
          <w:b w:val="0"/>
          <w:i w:val="0"/>
          <w:sz w:val="21"/>
        </w:rPr>
        <w:t>Written assessment of data accuracy, gaps, and limitations in all submitted models.</w:t>
      </w:r>
    </w:p>
    <w:p>
      <w:pPr>
        <w:pStyle w:val="ListBullet"/>
      </w:pPr>
      <w:r>
        <w:rPr>
          <w:rFonts w:ascii="Georgia" w:hAnsi="Georgia" w:eastAsia="Georgia"/>
          <w:b w:val="0"/>
          <w:i w:val="0"/>
          <w:sz w:val="21"/>
        </w:rPr>
        <w:t>Adjusted Wisconsin GGR forecast with sensitivity analysis.</w:t>
      </w:r>
    </w:p>
    <w:p>
      <w:pPr>
        <w:spacing w:before="80"/>
      </w:pPr>
      <w:r>
        <w:rPr>
          <w:rFonts w:ascii="Georgia" w:hAnsi="Georgia" w:eastAsia="Georgia"/>
          <w:b/>
          <w:i w:val="0"/>
          <w:sz w:val="21"/>
        </w:rPr>
        <w:t xml:space="preserve">Timeline: </w:t>
      </w:r>
      <w:r>
        <w:rPr>
          <w:rFonts w:ascii="Georgia" w:hAnsi="Georgia" w:eastAsia="Georgia"/>
          <w:b w:val="0"/>
          <w:i w:val="0"/>
          <w:sz w:val="21"/>
        </w:rPr>
        <w:t>Completed within 45 days of contract signing.</w:t>
      </w:r>
    </w:p>
    <w:p>
      <w:pPr>
        <w:pStyle w:val="Heading1"/>
        <w:pBdr>
          <w:bottom w:val="single" w:sz="8" w:space="4" w:color="D9D9D9"/>
        </w:pBdr>
      </w:pPr>
      <w:r>
        <w:t>C. Phase II — Revenue Share Model Review and Comparison</w:t>
      </w:r>
    </w:p>
    <w:p>
      <w:pPr>
        <w:pStyle w:val="Heading2"/>
      </w:pPr>
      <w:r>
        <w:t>Approach and Methodology</w:t>
      </w:r>
    </w:p>
    <w:p>
      <w:pPr>
        <w:pStyle w:val="Heading3"/>
      </w:pPr>
      <w:r>
        <w:t>Comparative Analysis (RFP §8.2.1)</w:t>
      </w:r>
    </w:p>
    <w:p>
      <w:r>
        <w:rPr>
          <w:rFonts w:ascii="Georgia" w:hAnsi="Georgia" w:eastAsia="Georgia"/>
          <w:b w:val="0"/>
          <w:i w:val="0"/>
          <w:sz w:val="21"/>
        </w:rPr>
        <w:t>Victor-Strategies will develop parallel comparisons of all reviewed models to determine the most equitable and beneficial revenue-sharing arrangement. These comparisons will cover revenue definitions (GGR versus net gaming revenue), expense allocations, risk assumptions, scalability, and market sensitivity. We will analyze variations in contribution structures — including alternative percentages and breakpoints such as those featured in the Red Cliff framework — to assess their effects on distribution levels, operator risk, and operational costs. We will also identify the financial risks and costs borne by operating tribes under each model to which non-operating tribes are not exposed.</w:t>
      </w:r>
    </w:p>
    <w:p>
      <w:pPr>
        <w:pStyle w:val="Heading3"/>
      </w:pPr>
      <w:r>
        <w:t>All-Model Financial Analysis</w:t>
      </w:r>
    </w:p>
    <w:p>
      <w:r>
        <w:rPr>
          <w:rFonts w:ascii="Georgia" w:hAnsi="Georgia" w:eastAsia="Georgia"/>
          <w:b w:val="0"/>
          <w:i w:val="0"/>
          <w:sz w:val="21"/>
        </w:rPr>
        <w:t>As instructed in the RFP, the Victor-Strategies team will:</w:t>
      </w:r>
    </w:p>
    <w:p>
      <w:pPr>
        <w:pStyle w:val="ListBullet"/>
      </w:pPr>
      <w:r>
        <w:rPr>
          <w:rFonts w:ascii="Georgia" w:hAnsi="Georgia" w:eastAsia="Georgia"/>
          <w:b w:val="0"/>
          <w:i w:val="0"/>
          <w:sz w:val="21"/>
        </w:rPr>
        <w:t>Verify that the net gaming revenue (NGR) definition — GGR less federal excise tax and promotional credits, with no further deductions — is industry-standard and protective against operator circumvention.</w:t>
      </w:r>
    </w:p>
    <w:p>
      <w:pPr>
        <w:pStyle w:val="ListBullet"/>
      </w:pPr>
      <w:r>
        <w:rPr>
          <w:rFonts w:ascii="Georgia" w:hAnsi="Georgia" w:eastAsia="Georgia"/>
          <w:b w:val="0"/>
          <w:i w:val="0"/>
          <w:sz w:val="21"/>
        </w:rPr>
        <w:t>Quantify per-tribe capital exposure under each model: upfront capital expenditures and annual operating expenses until breakeven, and the percentage of profit retained for reinvestment versus distributed.</w:t>
      </w:r>
    </w:p>
    <w:p>
      <w:pPr>
        <w:pStyle w:val="ListBullet"/>
      </w:pPr>
      <w:r>
        <w:rPr>
          <w:rFonts w:ascii="Georgia" w:hAnsi="Georgia" w:eastAsia="Georgia"/>
          <w:b w:val="0"/>
          <w:i w:val="0"/>
          <w:sz w:val="21"/>
        </w:rPr>
        <w:t>Evaluate the potential market impacts of multiple apps operating under one operator.</w:t>
      </w:r>
    </w:p>
    <w:p>
      <w:pPr>
        <w:pStyle w:val="ListBullet"/>
      </w:pPr>
      <w:r>
        <w:rPr>
          <w:rFonts w:ascii="Georgia" w:hAnsi="Georgia" w:eastAsia="Georgia"/>
          <w:b w:val="0"/>
          <w:i w:val="0"/>
          <w:sz w:val="21"/>
        </w:rPr>
        <w:t>Provide a scenario analysis of the three potential brand structures: (1) a newly created tribal brand; (2) an existing Wisconsin tribal gaming brand used as the communal brand; or (3) a nationally recognized non-Wisconsin gaming brand licensed to the joint venture. For each scenario we will assess startup costs, ongoing fees, the impact on per-tribe distributions, and the effect on tribal sovereignty and brand control, and compare each scenario financially to the B2B model.</w:t>
      </w:r>
    </w:p>
    <w:p>
      <w:pPr>
        <w:pStyle w:val="Heading3"/>
      </w:pPr>
      <w:r>
        <w:t>GGR Estimation and 10-Year Comparison (RFP §8.2.2)</w:t>
      </w:r>
    </w:p>
    <w:p>
      <w:r>
        <w:rPr>
          <w:rFonts w:ascii="Georgia" w:hAnsi="Georgia" w:eastAsia="Georgia"/>
          <w:b w:val="0"/>
          <w:i w:val="0"/>
          <w:sz w:val="21"/>
        </w:rPr>
        <w:t>As instructed in the RFP, Victor-Strategies will:</w:t>
      </w:r>
    </w:p>
    <w:p>
      <w:pPr>
        <w:pStyle w:val="ListBullet"/>
      </w:pPr>
      <w:r>
        <w:rPr>
          <w:rFonts w:ascii="Georgia" w:hAnsi="Georgia" w:eastAsia="Georgia"/>
          <w:b w:val="0"/>
          <w:i w:val="0"/>
          <w:sz w:val="21"/>
        </w:rPr>
        <w:t>Estimate total GGR for the Wisconsin market based on Phase I validated data and market assumptions, clearly identifying all assumptions used.</w:t>
      </w:r>
    </w:p>
    <w:p>
      <w:pPr>
        <w:pStyle w:val="ListBullet"/>
      </w:pPr>
      <w:r>
        <w:rPr>
          <w:rFonts w:ascii="Georgia" w:hAnsi="Georgia" w:eastAsia="Georgia"/>
          <w:b w:val="0"/>
          <w:i w:val="0"/>
          <w:sz w:val="21"/>
        </w:rPr>
        <w:t>Present a side-by-side, 10-year, per-tribe economic comparison of all models using consistent GGR assumptions from Phase I.</w:t>
      </w:r>
    </w:p>
    <w:p>
      <w:pPr>
        <w:pStyle w:val="Heading2"/>
      </w:pPr>
      <w:r>
        <w:t>Phase II Deliverables (RFP §8.2.3)</w:t>
      </w:r>
    </w:p>
    <w:p>
      <w:pPr>
        <w:pStyle w:val="ListBullet"/>
      </w:pPr>
      <w:r>
        <w:rPr>
          <w:rFonts w:ascii="Georgia" w:hAnsi="Georgia" w:eastAsia="Georgia"/>
          <w:b w:val="0"/>
          <w:i w:val="0"/>
          <w:sz w:val="21"/>
        </w:rPr>
        <w:t>Revenue model comparison matrix covering all submitted models.</w:t>
      </w:r>
    </w:p>
    <w:p>
      <w:pPr>
        <w:pStyle w:val="ListBullet"/>
      </w:pPr>
      <w:r>
        <w:rPr>
          <w:rFonts w:ascii="Georgia" w:hAnsi="Georgia" w:eastAsia="Georgia"/>
          <w:b w:val="0"/>
          <w:i w:val="0"/>
          <w:sz w:val="21"/>
        </w:rPr>
        <w:t>Written assessment of strengths, weaknesses, and risk allocation by model.</w:t>
      </w:r>
    </w:p>
    <w:p>
      <w:pPr>
        <w:pStyle w:val="ListBullet"/>
      </w:pPr>
      <w:r>
        <w:rPr>
          <w:rFonts w:ascii="Georgia" w:hAnsi="Georgia" w:eastAsia="Georgia"/>
          <w:b w:val="0"/>
          <w:i w:val="0"/>
          <w:sz w:val="21"/>
        </w:rPr>
        <w:t>Any additional model recommendations that Victor-Strategies would propose for Wisconsin.</w:t>
      </w:r>
    </w:p>
    <w:p>
      <w:pPr>
        <w:spacing w:before="80"/>
      </w:pPr>
      <w:r>
        <w:rPr>
          <w:rFonts w:ascii="Georgia" w:hAnsi="Georgia" w:eastAsia="Georgia"/>
          <w:b/>
          <w:i w:val="0"/>
          <w:sz w:val="21"/>
        </w:rPr>
        <w:t xml:space="preserve">Timeline: </w:t>
      </w:r>
      <w:r>
        <w:rPr>
          <w:rFonts w:ascii="Georgia" w:hAnsi="Georgia" w:eastAsia="Georgia"/>
          <w:b w:val="0"/>
          <w:i w:val="0"/>
          <w:sz w:val="21"/>
        </w:rPr>
        <w:t>Completed within 45 days of contract signing.</w:t>
      </w:r>
    </w:p>
    <w:p>
      <w:pPr>
        <w:pStyle w:val="Heading1"/>
        <w:pageBreakBefore/>
        <w:pBdr>
          <w:bottom w:val="single" w:sz="8" w:space="4" w:color="D9D9D9"/>
        </w:pBdr>
      </w:pPr>
      <w:r>
        <w:t>D. Phase II Option — Statewide Economic Impact Study</w:t>
      </w:r>
    </w:p>
    <w:p>
      <w:pPr>
        <w:pStyle w:val="Heading2"/>
      </w:pPr>
      <w:r>
        <w:t>Background</w:t>
      </w:r>
    </w:p>
    <w:p>
      <w:r>
        <w:rPr>
          <w:rFonts w:ascii="Georgia" w:hAnsi="Georgia" w:eastAsia="Georgia"/>
          <w:b w:val="0"/>
          <w:i w:val="0"/>
          <w:sz w:val="21"/>
        </w:rPr>
        <w:t>Economic impact analysis was not specifically requested in the Wisconsin Tribal Nations request for proposal. During the question period, however, Victor-Strategies asked whether statewide economic impact was an element of any of the models under review, and whether the consultant should include a statewide economic impact component in its independent revenue model. The answer was affirmative, so we include an economic impact component in this response. It is offered as an additional option, priced separately from the other phases of our proposal.</w:t>
      </w:r>
    </w:p>
    <w:p>
      <w:pPr>
        <w:pStyle w:val="Heading2"/>
      </w:pPr>
      <w:r>
        <w:t>Approach and Methodology</w:t>
      </w:r>
    </w:p>
    <w:p>
      <w:r>
        <w:rPr>
          <w:rFonts w:ascii="Georgia" w:hAnsi="Georgia" w:eastAsia="Georgia"/>
          <w:b w:val="0"/>
          <w:i w:val="0"/>
          <w:sz w:val="21"/>
        </w:rPr>
        <w:t>If included, this macroeconomic analysis will estimate the total statewide economic impact of online sports wagering as forecast by the recommended sports betting revenue model. The impact of this new economic vertical will be measured across several dimensions: economic output; value added at the state level, or gross state product (GSP); full-time-equivalent (FTE) employment; employee compensation; and non-gaming tax revenue. Results will be reported as direct, indirect, and induced impacts to the State of Wisconsin and, by inference, to the tribes.</w:t>
      </w:r>
    </w:p>
    <w:p>
      <w:r>
        <w:rPr>
          <w:rFonts w:ascii="Georgia" w:hAnsi="Georgia" w:eastAsia="Georgia"/>
          <w:b w:val="0"/>
          <w:i w:val="0"/>
          <w:sz w:val="21"/>
        </w:rPr>
        <w:t>Economic impact is a measure of the spending and employment associated with a business, a sector of the economy, a specific project (such as the construction of a new facility), or a change in government policy or regulation. It can be measured in several ways, most commonly the dollar value of output produced and the person-years (full-time equivalents) of employment generated. These figures assess the gross level of activity or expenditure; they are not net measures that weigh benefits against costs, but they are useful in developing an appreciation of businesses, projects, investments, and economic sectors. In our modeling we do account for the shifts in consumption that are clearest to define — namely, shifts by Wisconsin residents from other household goods and services to sports wagering.</w:t>
      </w:r>
    </w:p>
    <w:p>
      <w:pPr>
        <w:pStyle w:val="Heading3"/>
      </w:pPr>
      <w:r>
        <w:t>The GEMS Modeling Platform</w:t>
      </w:r>
    </w:p>
    <w:p>
      <w:r>
        <w:rPr>
          <w:rFonts w:ascii="Georgia" w:hAnsi="Georgia" w:eastAsia="Georgia"/>
          <w:b w:val="0"/>
          <w:i w:val="0"/>
          <w:sz w:val="21"/>
        </w:rPr>
        <w:t>Our calculations will be performed with GEMS (Gaming Economic Modeling System), a proprietary input-output (IO) modeling platform developed by GP Consulting and purpose-built for the gaming industry. GEMS covers all 50 states and is constructed from federal economic accounts: state IO multipliers derived from U.S. EPA state input-output models, employment and wage coefficients from the Bureau of Labor Statistics Quarterly Census of Employment and Wages, and industry detail from the Bureau of Economic Analysis (BEA).</w:t>
      </w:r>
    </w:p>
    <w:p>
      <w:r>
        <w:rPr>
          <w:rFonts w:ascii="Georgia" w:hAnsi="Georgia" w:eastAsia="Georgia"/>
          <w:b w:val="0"/>
          <w:i w:val="0"/>
          <w:sz w:val="21"/>
        </w:rPr>
        <w:t>GEMS addresses a structural weakness of standard, off-the-shelf economic impact software for gaming applications. Conventional platforms model casinos within a blended industry sector that combines gambling with golf courses, fitness centers, and amusement parks — activities with fundamentally different labor and cost structures — which systematically misstates the employment and value-added effects of gaming operations. GEMS isolates gambling-specific multipliers from the BEA detail accounts and adds dedicated online-gambling coefficients that conventional models lack entirely. For an online sports betting analysis, this produces materially more accurate estimates than generic, blended-sector multipliers.</w:t>
      </w:r>
    </w:p>
    <w:p>
      <w:r>
        <w:rPr>
          <w:rFonts w:ascii="Georgia" w:hAnsi="Georgia" w:eastAsia="Georgia"/>
          <w:b w:val="0"/>
          <w:i w:val="0"/>
          <w:sz w:val="21"/>
        </w:rPr>
        <w:t>GEMS produces transparent, replicable estimates of output, value added, employment, wages, and state and local fiscal effects, decomposed into direct, indirect, and induced impacts using Type I and Type II (Leontief) multipliers. It incorporates direct employment data where available and enables rapid, consistent comparison of alternative revenue scenarios — a useful feature when evaluating the alternative market structures contemplated in this engagement.</w:t>
      </w:r>
    </w:p>
    <w:p>
      <w:pPr>
        <w:pStyle w:val="Heading3"/>
      </w:pPr>
      <w:r>
        <w:t>Measures of Impact</w:t>
      </w:r>
    </w:p>
    <w:p>
      <w:r>
        <w:rPr>
          <w:rFonts w:ascii="Georgia" w:hAnsi="Georgia" w:eastAsia="Georgia"/>
          <w:b w:val="0"/>
          <w:i w:val="0"/>
          <w:sz w:val="21"/>
        </w:rPr>
        <w:t>The statewide economic impact of sports wagering expansion will be measured across the following dimensions:</w:t>
      </w:r>
    </w:p>
    <w:p>
      <w:pPr>
        <w:pStyle w:val="ListBullet"/>
      </w:pPr>
      <w:r>
        <w:rPr>
          <w:rFonts w:ascii="Georgia" w:hAnsi="Georgia" w:eastAsia="Georgia"/>
          <w:b w:val="0"/>
          <w:i w:val="0"/>
          <w:sz w:val="21"/>
        </w:rPr>
        <w:t>Economic output</w:t>
      </w:r>
    </w:p>
    <w:p>
      <w:pPr>
        <w:pStyle w:val="ListBullet"/>
      </w:pPr>
      <w:r>
        <w:rPr>
          <w:rFonts w:ascii="Georgia" w:hAnsi="Georgia" w:eastAsia="Georgia"/>
          <w:b w:val="0"/>
          <w:i w:val="0"/>
          <w:sz w:val="21"/>
        </w:rPr>
        <w:t>Value added, or gross state product (GSP)</w:t>
      </w:r>
    </w:p>
    <w:p>
      <w:pPr>
        <w:pStyle w:val="ListBullet"/>
      </w:pPr>
      <w:r>
        <w:rPr>
          <w:rFonts w:ascii="Georgia" w:hAnsi="Georgia" w:eastAsia="Georgia"/>
          <w:b w:val="0"/>
          <w:i w:val="0"/>
          <w:sz w:val="21"/>
        </w:rPr>
        <w:t>Full-time-equivalent (FTE) employment</w:t>
      </w:r>
    </w:p>
    <w:p>
      <w:pPr>
        <w:pStyle w:val="ListBullet"/>
      </w:pPr>
      <w:r>
        <w:rPr>
          <w:rFonts w:ascii="Georgia" w:hAnsi="Georgia" w:eastAsia="Georgia"/>
          <w:b w:val="0"/>
          <w:i w:val="0"/>
          <w:sz w:val="21"/>
        </w:rPr>
        <w:t>Employee compensation</w:t>
      </w:r>
    </w:p>
    <w:p>
      <w:pPr>
        <w:pStyle w:val="ListBullet"/>
      </w:pPr>
      <w:r>
        <w:rPr>
          <w:rFonts w:ascii="Georgia" w:hAnsi="Georgia" w:eastAsia="Georgia"/>
          <w:b w:val="0"/>
          <w:i w:val="0"/>
          <w:sz w:val="21"/>
        </w:rPr>
        <w:t>Non-gaming tax revenue (production, payroll, and household taxes)</w:t>
      </w:r>
    </w:p>
    <w:p>
      <w:r>
        <w:rPr>
          <w:rFonts w:ascii="Georgia" w:hAnsi="Georgia" w:eastAsia="Georgia"/>
          <w:b w:val="0"/>
          <w:i w:val="0"/>
          <w:sz w:val="21"/>
        </w:rPr>
        <w:t>We estimate economic activity through three layers of effects — direct, indirect, and induced:</w:t>
      </w:r>
    </w:p>
    <w:p>
      <w:pPr>
        <w:pStyle w:val="ListBullet"/>
      </w:pPr>
      <w:r>
        <w:rPr>
          <w:rFonts w:ascii="Georgia" w:hAnsi="Georgia" w:eastAsia="Georgia"/>
          <w:b/>
          <w:i w:val="0"/>
          <w:sz w:val="21"/>
        </w:rPr>
        <w:t xml:space="preserve">Direct economic impact </w:t>
      </w:r>
      <w:r>
        <w:rPr>
          <w:rFonts w:ascii="Georgia" w:hAnsi="Georgia" w:eastAsia="Georgia"/>
          <w:b w:val="0"/>
          <w:i w:val="0"/>
          <w:sz w:val="21"/>
        </w:rPr>
        <w:t>is the employment and economic output attributable to the operation and management of the sportsbook within the operator's business. This includes the jobs located directly at the operator, together with the professional staff, management, marketing, and other workers required to run the platform.</w:t>
      </w:r>
    </w:p>
    <w:p>
      <w:pPr>
        <w:pStyle w:val="ListBullet"/>
      </w:pPr>
      <w:r>
        <w:rPr>
          <w:rFonts w:ascii="Georgia" w:hAnsi="Georgia" w:eastAsia="Georgia"/>
          <w:b/>
          <w:i w:val="0"/>
          <w:sz w:val="21"/>
        </w:rPr>
        <w:t xml:space="preserve">Indirect economic impact </w:t>
      </w:r>
      <w:r>
        <w:rPr>
          <w:rFonts w:ascii="Georgia" w:hAnsi="Georgia" w:eastAsia="Georgia"/>
          <w:b w:val="0"/>
          <w:i w:val="0"/>
          <w:sz w:val="21"/>
        </w:rPr>
        <w:t>is the employment, value added, and economic output created in industries that supply goods and services to the operator — for example, a local IT company that installs hardware, or an in-state office supplier that furnishes back-of-house spaces.</w:t>
      </w:r>
    </w:p>
    <w:p>
      <w:pPr>
        <w:pStyle w:val="ListBullet"/>
      </w:pPr>
      <w:r>
        <w:rPr>
          <w:rFonts w:ascii="Georgia" w:hAnsi="Georgia" w:eastAsia="Georgia"/>
          <w:b/>
          <w:i w:val="0"/>
          <w:sz w:val="21"/>
        </w:rPr>
        <w:t xml:space="preserve">Induced economic impact </w:t>
      </w:r>
      <w:r>
        <w:rPr>
          <w:rFonts w:ascii="Georgia" w:hAnsi="Georgia" w:eastAsia="Georgia"/>
          <w:b w:val="0"/>
          <w:i w:val="0"/>
          <w:sz w:val="21"/>
        </w:rPr>
        <w:t>is the employment, value added, and economic output generated by the spending of individuals employed directly or indirectly by the operator — for example, operator employees consuming services such as a meal at a Wisconsin restaurant.</w:t>
      </w:r>
    </w:p>
    <w:p>
      <w:pPr>
        <w:pStyle w:val="ListBullet"/>
      </w:pPr>
      <w:r>
        <w:rPr>
          <w:rFonts w:ascii="Georgia" w:hAnsi="Georgia" w:eastAsia="Georgia"/>
          <w:b/>
          <w:i w:val="0"/>
          <w:sz w:val="21"/>
        </w:rPr>
        <w:t xml:space="preserve">Total economic impact </w:t>
      </w:r>
      <w:r>
        <w:rPr>
          <w:rFonts w:ascii="Georgia" w:hAnsi="Georgia" w:eastAsia="Georgia"/>
          <w:b w:val="0"/>
          <w:i w:val="0"/>
          <w:sz w:val="21"/>
        </w:rPr>
        <w:t>is the sum of direct, indirect, and induced effects. The multiplier (indirect and induced) impacts represent the maximum potential stimulus to the economy from gaming-related business activity.</w:t>
      </w:r>
    </w:p>
    <w:p>
      <w:pPr>
        <w:pStyle w:val="Heading3"/>
      </w:pPr>
      <w:r>
        <w:t>Catalytic Impacts</w:t>
      </w:r>
    </w:p>
    <w:p>
      <w:r>
        <w:rPr>
          <w:rFonts w:ascii="Georgia" w:hAnsi="Georgia" w:eastAsia="Georgia"/>
          <w:b w:val="0"/>
          <w:i w:val="0"/>
          <w:sz w:val="21"/>
        </w:rPr>
        <w:t>Total economic impacts are conventionally defined as the sum of direct, indirect, and induced effects. Some sectors, however, are also capable of producing catalytic impacts — economic growth enabled by another sector, industry, or firm. Aviation is often cited as a source of catalytic impacts because it allows trade that would otherwise not occur, such as air cargo transport of perishable goods.</w:t>
      </w:r>
      <w:r>
        <w:rPr>
          <w:rFonts w:ascii="Georgia" w:hAnsi="Georgia" w:eastAsia="Georgia"/>
          <w:b w:val="0"/>
          <w:i w:val="0"/>
          <w:sz w:val="21"/>
          <w:vertAlign w:val="superscript"/>
        </w:rPr>
        <w:t>1</w:t>
      </w:r>
    </w:p>
    <w:p>
      <w:r>
        <w:rPr>
          <w:rFonts w:ascii="Georgia" w:hAnsi="Georgia" w:eastAsia="Georgia"/>
          <w:b w:val="0"/>
          <w:i w:val="0"/>
          <w:sz w:val="21"/>
        </w:rPr>
        <w:t>In Wisconsin, the expansion of sports betting could similarly facilitate catalytic impacts. If sports betting attracts new entrepreneurs to the state, for example, the industry may spur the development of a new set of businesses that would not otherwise have considered expanding there.</w:t>
      </w:r>
    </w:p>
    <w:p>
      <w:r>
        <w:rPr>
          <w:rFonts w:ascii="Georgia" w:hAnsi="Georgia" w:eastAsia="Georgia"/>
          <w:b w:val="0"/>
          <w:i w:val="0"/>
          <w:sz w:val="21"/>
        </w:rPr>
        <w:t>Under a typical, conservative economic impact methodology, such potential catalytic impacts are not measured. We considered including catalytic estimates, but they would require significant assumptions about innovation and consumer behavior that would materially increase the margin of error on our projections. We are nonetheless comfortable asserting that adopting a more business-friendly set of policies will typically have a net positive effect on surrounding businesses, and we note that our figures and approach are conservative: there is reason to believe the Wisconsin economy would experience impacts beyond those specifically measured in this study.</w:t>
      </w:r>
    </w:p>
    <w:p>
      <w:pPr>
        <w:pStyle w:val="Heading3"/>
      </w:pPr>
      <w:r>
        <w:t>Evidence of Impacts on Existing Gaming Businesses</w:t>
      </w:r>
    </w:p>
    <w:p>
      <w:r>
        <w:rPr>
          <w:rFonts w:ascii="Georgia" w:hAnsi="Georgia" w:eastAsia="Georgia"/>
          <w:b w:val="0"/>
          <w:i w:val="0"/>
          <w:sz w:val="21"/>
        </w:rPr>
        <w:t>A common public policy question is whether new gaming revenue will cannibalize existing businesses in the area — in particular, other gaming businesses. The question is especially important when the potentially cannibalized business produces higher margins or public revenue. This topic has received extensive study in the academic literature, which has consistently pointed to a non-negative effect: offline gaming businesses are estimated to realize positive revenue gains from increased sports betting participation when the systems can be horizontally integrated.</w:t>
      </w:r>
      <w:r>
        <w:rPr>
          <w:rFonts w:ascii="Georgia" w:hAnsi="Georgia" w:eastAsia="Georgia"/>
          <w:b w:val="0"/>
          <w:i w:val="0"/>
          <w:sz w:val="21"/>
          <w:vertAlign w:val="superscript"/>
        </w:rPr>
        <w:t>2</w:t>
      </w:r>
    </w:p>
    <w:p>
      <w:r>
        <w:rPr>
          <w:rFonts w:ascii="Georgia" w:hAnsi="Georgia" w:eastAsia="Georgia"/>
          <w:b w:val="0"/>
          <w:i w:val="0"/>
          <w:sz w:val="21"/>
        </w:rPr>
        <w:t>An important test of whether economic impact figures can be trusted for policymaking is whether a negative impact is occurring elsewhere in the economy. As noted above, the gaming economics literature suggests that aggregate effects on existing gaming businesses will be positive or nil (not cannibalistic). While we expect this to be the case for total impacts, we make explicit assumptions about changes in household discretionary spending by Wisconsin residents: we assume that revenue from Wisconsin residents is diverted from other spending, based on existing spending patterns and scenario-based analyses.</w:t>
      </w:r>
    </w:p>
    <w:p>
      <w:pPr>
        <w:pStyle w:val="Heading2"/>
      </w:pPr>
      <w:r>
        <w:t>Economic Impact Deliverables</w:t>
      </w:r>
    </w:p>
    <w:p>
      <w:pPr>
        <w:pStyle w:val="ListBullet"/>
      </w:pPr>
      <w:r>
        <w:rPr>
          <w:rFonts w:ascii="Georgia" w:hAnsi="Georgia" w:eastAsia="Georgia"/>
          <w:b w:val="0"/>
          <w:i w:val="0"/>
          <w:sz w:val="21"/>
        </w:rPr>
        <w:t>A separate section of our management summary report detailing the statewide direct, indirect, induced, and total economic impacts of an online sports betting industry across the tribal and commercial economies of Wisconsin.</w:t>
      </w:r>
    </w:p>
    <w:p>
      <w:pPr>
        <w:spacing w:before="80"/>
      </w:pPr>
      <w:r>
        <w:rPr>
          <w:rFonts w:ascii="Georgia" w:hAnsi="Georgia" w:eastAsia="Georgia"/>
          <w:b/>
          <w:i w:val="0"/>
          <w:sz w:val="21"/>
        </w:rPr>
        <w:t xml:space="preserve">Timeline: </w:t>
      </w:r>
      <w:r>
        <w:rPr>
          <w:rFonts w:ascii="Georgia" w:hAnsi="Georgia" w:eastAsia="Georgia"/>
          <w:b w:val="0"/>
          <w:i w:val="0"/>
          <w:sz w:val="21"/>
        </w:rPr>
        <w:t>Priced separately as an optional addition to Phase II; schedule to be aligned with the Phase II deliverables.</w:t>
      </w:r>
    </w:p>
    <w:p>
      <w:pPr>
        <w:keepNext/>
        <w:spacing w:before="280"/>
        <w:pBdr>
          <w:bottom w:val="single" w:sz="4" w:space="4" w:color="D9D9D9"/>
        </w:pBdr>
      </w:pPr>
      <w:r>
        <w:rPr>
          <w:rFonts w:ascii="Calibri" w:hAnsi="Calibri" w:eastAsia="Calibri"/>
          <w:b/>
          <w:i w:val="0"/>
          <w:color w:val="6E6E6E"/>
          <w:sz w:val="20"/>
        </w:rPr>
        <w:t>Notes</w:t>
      </w:r>
    </w:p>
    <w:p>
      <w:pPr>
        <w:keepNext/>
        <w:keepLines/>
        <w:spacing w:after="60"/>
      </w:pPr>
      <w:r>
        <w:rPr>
          <w:rFonts w:ascii="Georgia" w:hAnsi="Georgia" w:eastAsia="Georgia"/>
          <w:b w:val="0"/>
          <w:i w:val="0"/>
          <w:sz w:val="21"/>
          <w:vertAlign w:val="superscript"/>
        </w:rPr>
        <w:t xml:space="preserve">1 </w:t>
      </w:r>
      <w:r>
        <w:rPr>
          <w:rFonts w:ascii="Georgia" w:hAnsi="Georgia" w:eastAsia="Georgia"/>
          <w:b w:val="0"/>
          <w:i w:val="0"/>
          <w:sz w:val="18"/>
        </w:rPr>
        <w:t xml:space="preserve">Tretheway, M. (2010). Economic Impacts of Aviation: Catalytic Impacts. ACED Conference. </w:t>
      </w:r>
      <w:hyperlink r:id="rId21">
        <w:r>
          <w:rPr>
            <w:rFonts w:ascii="Georgia" w:hAnsi="Georgia"/>
            <w:color w:val="1155CC"/>
            <w:sz w:val="18"/>
            <w:u w:val="single"/>
          </w:rPr>
          <w:t>http://www.intervistas.com/downloads/presentations/Economic_Impacts_of_Aviation_Catalytic_Impacts_MTR_20Sep2010.pdf</w:t>
        </w:r>
      </w:hyperlink>
    </w:p>
    <w:p>
      <w:pPr>
        <w:keepLines/>
      </w:pPr>
      <w:r>
        <w:rPr>
          <w:rFonts w:ascii="Georgia" w:hAnsi="Georgia" w:eastAsia="Georgia"/>
          <w:b w:val="0"/>
          <w:i w:val="0"/>
          <w:sz w:val="21"/>
          <w:vertAlign w:val="superscript"/>
        </w:rPr>
        <w:t xml:space="preserve">2 </w:t>
      </w:r>
      <w:r>
        <w:rPr>
          <w:rFonts w:ascii="Georgia" w:hAnsi="Georgia" w:eastAsia="Georgia"/>
          <w:b w:val="0"/>
          <w:i w:val="0"/>
          <w:sz w:val="18"/>
        </w:rPr>
        <w:t xml:space="preserve">For a more thorough discussion of this literature, see Philander, K., Abarbanel, B., &amp; Repetti, T. (2015). Consumer spending in the gaming industry: Evidence of complementary demand in casino and online venues. International Gambling Studies. </w:t>
      </w:r>
      <w:hyperlink r:id="rId22">
        <w:r>
          <w:rPr>
            <w:rFonts w:ascii="Georgia" w:hAnsi="Georgia"/>
            <w:color w:val="1155CC"/>
            <w:sz w:val="18"/>
            <w:u w:val="single"/>
          </w:rPr>
          <w:t>https://www.tandfonline.com/doi/abs/10.1080/14459795.2015.1042002</w:t>
        </w:r>
      </w:hyperlink>
    </w:p>
    <w:p>
      <w:pPr>
        <w:pStyle w:val="Heading1"/>
        <w:pageBreakBefore/>
        <w:pBdr>
          <w:bottom w:val="single" w:sz="8" w:space="4" w:color="D9D9D9"/>
        </w:pBdr>
      </w:pPr>
      <w:r>
        <w:t>E. Phase III — Prediction Markets</w:t>
      </w:r>
    </w:p>
    <w:p>
      <w:pPr>
        <w:pStyle w:val="Heading2"/>
      </w:pPr>
      <w:r>
        <w:t>Approach and Methodology</w:t>
      </w:r>
    </w:p>
    <w:p>
      <w:pPr>
        <w:pStyle w:val="Heading3"/>
      </w:pPr>
      <w:r>
        <w:t>Prediction Market Analysis (RFP §8.3.1)</w:t>
      </w:r>
    </w:p>
    <w:p>
      <w:r>
        <w:rPr>
          <w:rFonts w:ascii="Georgia" w:hAnsi="Georgia" w:eastAsia="Georgia"/>
          <w:b w:val="0"/>
          <w:i w:val="0"/>
          <w:sz w:val="21"/>
        </w:rPr>
        <w:t>As instructed in the RFP, the Victor-Strategies team will:</w:t>
      </w:r>
    </w:p>
    <w:p>
      <w:pPr>
        <w:pStyle w:val="ListBullet"/>
      </w:pPr>
      <w:r>
        <w:rPr>
          <w:rFonts w:ascii="Georgia" w:hAnsi="Georgia" w:eastAsia="Georgia"/>
          <w:b w:val="0"/>
          <w:i w:val="0"/>
          <w:sz w:val="21"/>
        </w:rPr>
        <w:t>Analyze how prediction markets are currently affecting the states in which they operate — specifically their effect on licensed sports betting handle, GGR, and tribal revenue.</w:t>
      </w:r>
    </w:p>
    <w:p>
      <w:pPr>
        <w:pStyle w:val="ListBullet"/>
      </w:pPr>
      <w:r>
        <w:rPr>
          <w:rFonts w:ascii="Georgia" w:hAnsi="Georgia" w:eastAsia="Georgia"/>
          <w:b w:val="0"/>
          <w:i w:val="0"/>
          <w:sz w:val="21"/>
        </w:rPr>
        <w:t>Assess the impact of prediction market growth on the Wisconsin market projections from Phase I, including any required adjustments to GGR estimates.</w:t>
      </w:r>
    </w:p>
    <w:p>
      <w:pPr>
        <w:pStyle w:val="ListBullet"/>
      </w:pPr>
      <w:r>
        <w:rPr>
          <w:rFonts w:ascii="Georgia" w:hAnsi="Georgia" w:eastAsia="Georgia"/>
          <w:b w:val="0"/>
          <w:i w:val="0"/>
          <w:sz w:val="21"/>
        </w:rPr>
        <w:t>Provide a reasoned opinion on the trajectory of prediction markets based on current data and regulatory developments, and on what that trajectory means for the long-term viability of Wisconsin tribal sports betting exclusivity.</w:t>
      </w:r>
    </w:p>
    <w:p>
      <w:pPr>
        <w:pStyle w:val="Heading2"/>
      </w:pPr>
      <w:r>
        <w:t>Phase III Deliverables (RFP §8.3.2)</w:t>
      </w:r>
    </w:p>
    <w:p>
      <w:pPr>
        <w:pStyle w:val="ListBullet"/>
      </w:pPr>
      <w:r>
        <w:rPr>
          <w:rFonts w:ascii="Georgia" w:hAnsi="Georgia" w:eastAsia="Georgia"/>
          <w:b w:val="0"/>
          <w:i w:val="0"/>
          <w:sz w:val="21"/>
        </w:rPr>
        <w:t>Written analysis of prediction market impacts on comparable markets.</w:t>
      </w:r>
    </w:p>
    <w:p>
      <w:pPr>
        <w:pStyle w:val="ListBullet"/>
      </w:pPr>
      <w:r>
        <w:rPr>
          <w:rFonts w:ascii="Georgia" w:hAnsi="Georgia" w:eastAsia="Georgia"/>
          <w:b w:val="0"/>
          <w:i w:val="0"/>
          <w:sz w:val="21"/>
        </w:rPr>
        <w:t>Assessment of prediction market risk to Wisconsin tribal sports betting projections.</w:t>
      </w:r>
    </w:p>
    <w:p>
      <w:pPr>
        <w:spacing w:before="80"/>
      </w:pPr>
      <w:r>
        <w:rPr>
          <w:rFonts w:ascii="Georgia" w:hAnsi="Georgia" w:eastAsia="Georgia"/>
          <w:b/>
          <w:i w:val="0"/>
          <w:sz w:val="21"/>
        </w:rPr>
        <w:t xml:space="preserve">Timeline: </w:t>
      </w:r>
      <w:r>
        <w:rPr>
          <w:rFonts w:ascii="Georgia" w:hAnsi="Georgia" w:eastAsia="Georgia"/>
          <w:b w:val="0"/>
          <w:i w:val="0"/>
          <w:sz w:val="21"/>
        </w:rPr>
        <w:t>Completed within 60 days of contract signing.</w:t>
      </w:r>
    </w:p>
    <w:p>
      <w:pPr>
        <w:pStyle w:val="Heading1"/>
        <w:pBdr>
          <w:bottom w:val="single" w:sz="8" w:space="4" w:color="D9D9D9"/>
        </w:pBdr>
      </w:pPr>
      <w:r>
        <w:t>F. Financial Proposal (RFP §8.4)</w:t>
      </w:r>
    </w:p>
    <w:p>
      <w:r>
        <w:rPr>
          <w:rFonts w:ascii="Georgia" w:hAnsi="Georgia" w:eastAsia="Georgia"/>
          <w:b w:val="0"/>
          <w:i w:val="0"/>
          <w:sz w:val="21"/>
        </w:rPr>
        <w:t>Per the RFP, respondents must provide a detailed fee schedule including:</w:t>
      </w:r>
    </w:p>
    <w:p>
      <w:pPr>
        <w:pStyle w:val="ListBullet"/>
      </w:pPr>
      <w:r>
        <w:rPr>
          <w:rFonts w:ascii="Georgia" w:hAnsi="Georgia" w:eastAsia="Georgia"/>
          <w:b w:val="0"/>
          <w:i w:val="0"/>
          <w:sz w:val="21"/>
        </w:rPr>
        <w:t>Estimated hours by staff level, with hourly rates and total cost.</w:t>
      </w:r>
    </w:p>
    <w:p>
      <w:pPr>
        <w:pStyle w:val="ListBullet"/>
      </w:pPr>
      <w:r>
        <w:rPr>
          <w:rFonts w:ascii="Georgia" w:hAnsi="Georgia" w:eastAsia="Georgia"/>
          <w:b w:val="0"/>
          <w:i w:val="0"/>
          <w:sz w:val="21"/>
        </w:rPr>
        <w:t>Out-of-pocket expenses, including a not-to-exceed estimate for travel and other reimbursements.</w:t>
      </w:r>
    </w:p>
    <w:p>
      <w:pPr>
        <w:pStyle w:val="ListBullet"/>
      </w:pPr>
      <w:r>
        <w:rPr>
          <w:rFonts w:ascii="Georgia" w:hAnsi="Georgia" w:eastAsia="Georgia"/>
          <w:b w:val="0"/>
          <w:i w:val="0"/>
          <w:sz w:val="21"/>
        </w:rPr>
        <w:t>Any discounts offered.</w:t>
      </w:r>
    </w:p>
    <w:p>
      <w:pPr>
        <w:pStyle w:val="ListBullet"/>
      </w:pPr>
      <w:r>
        <w:rPr>
          <w:rFonts w:ascii="Georgia" w:hAnsi="Georgia" w:eastAsia="Georgia"/>
          <w:b w:val="0"/>
          <w:i w:val="0"/>
          <w:sz w:val="21"/>
        </w:rPr>
        <w:t>Pricing for each phase individually and for all three phases as a combined engagement.</w:t>
      </w:r>
    </w:p>
    <w:p>
      <w:r>
        <w:rPr>
          <w:rFonts w:ascii="Georgia" w:hAnsi="Georgia" w:eastAsia="Georgia"/>
          <w:b w:val="0"/>
          <w:i/>
          <w:sz w:val="21"/>
        </w:rPr>
        <w:t>[Fee schedule to be provided.]</w:t>
      </w:r>
    </w:p>
    <w:p>
      <w:pPr>
        <w:pStyle w:val="Heading1"/>
        <w:pBdr>
          <w:bottom w:val="single" w:sz="8" w:space="4" w:color="D9D9D9"/>
        </w:pBdr>
      </w:pPr>
      <w:r>
        <w:t>G. Key Questions the Report Must Answer (RFP §9)</w:t>
      </w:r>
    </w:p>
    <w:p>
      <w:r>
        <w:rPr>
          <w:rFonts w:ascii="Georgia" w:hAnsi="Georgia" w:eastAsia="Georgia"/>
          <w:b w:val="0"/>
          <w:i w:val="0"/>
          <w:sz w:val="21"/>
        </w:rPr>
        <w:t>The RFP requires the final report to provide a documented, evidence-based response to each of the following questions, stating explicitly where information is missing from either model. The table below restates each question and identifies where our proposed scope addresses it.</w:t>
      </w:r>
    </w:p>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single" w:sz="4" w:color="BFBFBF"/>
          <w:insideV w:val="single" w:sz="4" w:color="BFBFBF"/>
        </w:tblBorders>
        <w:tblLayout w:type="fixed"/>
      </w:tblPr>
      <w:tblGrid>
        <w:gridCol w:w="5184"/>
        <w:gridCol w:w="4896"/>
      </w:tblGrid>
      <w:tr>
        <w:trPr>
          <w:tblHeader w:val="true"/>
        </w:trPr>
        <w:tc>
          <w:tcPr>
            <w:tcW w:type="dxa" w:w="5184"/>
            <w:shd w:val="clear" w:fill="C42127"/>
          </w:tcPr>
          <w:p>
            <w:pPr>
              <w:spacing w:after="40"/>
            </w:pPr>
            <w:r>
              <w:rPr>
                <w:rFonts w:ascii="Calibri" w:hAnsi="Calibri" w:eastAsia="Calibri"/>
                <w:b/>
                <w:i w:val="0"/>
                <w:color w:val="FFFFFF"/>
                <w:sz w:val="20"/>
              </w:rPr>
              <w:t>RFP Question</w:t>
            </w:r>
          </w:p>
        </w:tc>
        <w:tc>
          <w:tcPr>
            <w:tcW w:type="dxa" w:w="4896"/>
            <w:shd w:val="clear" w:fill="C42127"/>
          </w:tcPr>
          <w:p>
            <w:pPr>
              <w:spacing w:after="40"/>
            </w:pPr>
            <w:r>
              <w:rPr>
                <w:rFonts w:ascii="Calibri" w:hAnsi="Calibri" w:eastAsia="Calibri"/>
                <w:b/>
                <w:i w:val="0"/>
                <w:color w:val="FFFFFF"/>
                <w:sz w:val="20"/>
              </w:rPr>
              <w:t>Where Addressed</w:t>
            </w:r>
          </w:p>
        </w:tc>
      </w:tr>
      <w:tr>
        <w:trPr>
          <w:cantSplit/>
        </w:trPr>
        <w:tc>
          <w:tcPr>
            <w:tcW w:type="dxa" w:w="5184"/>
          </w:tcPr>
          <w:p>
            <w:pPr>
              <w:spacing w:after="40"/>
            </w:pPr>
            <w:r>
              <w:rPr>
                <w:rFonts w:ascii="Georgia" w:hAnsi="Georgia" w:eastAsia="Georgia"/>
                <w:b w:val="0"/>
                <w:i w:val="0"/>
                <w:sz w:val="19"/>
              </w:rPr>
              <w:t>Is the Wisconsin market size projection appropriate — conservative, reasonable, or aggressive — relative to comparable states?</w:t>
            </w:r>
          </w:p>
        </w:tc>
        <w:tc>
          <w:tcPr>
            <w:tcW w:type="dxa" w:w="4896"/>
          </w:tcPr>
          <w:p>
            <w:pPr>
              <w:spacing w:after="40"/>
            </w:pPr>
            <w:r>
              <w:rPr>
                <w:rFonts w:ascii="Georgia" w:hAnsi="Georgia" w:eastAsia="Georgia"/>
                <w:b w:val="0"/>
                <w:i w:val="0"/>
                <w:sz w:val="19"/>
              </w:rPr>
              <w:t>Phase I (Section B): independent market model benchmarked on revenue per adult in comparable states, with sensitivity analysis.</w:t>
            </w:r>
          </w:p>
        </w:tc>
      </w:tr>
      <w:tr>
        <w:trPr>
          <w:cantSplit/>
        </w:trPr>
        <w:tc>
          <w:tcPr>
            <w:tcW w:type="dxa" w:w="5184"/>
          </w:tcPr>
          <w:p>
            <w:pPr>
              <w:spacing w:after="40"/>
            </w:pPr>
            <w:r>
              <w:rPr>
                <w:rFonts w:ascii="Georgia" w:hAnsi="Georgia" w:eastAsia="Georgia"/>
                <w:b w:val="0"/>
                <w:i w:val="0"/>
                <w:sz w:val="19"/>
              </w:rPr>
              <w:t>Is the tribal exclusivity discount supported by comparable markets, and is the phase-down schedule consistent with observed market maturation?</w:t>
            </w:r>
          </w:p>
        </w:tc>
        <w:tc>
          <w:tcPr>
            <w:tcW w:type="dxa" w:w="4896"/>
          </w:tcPr>
          <w:p>
            <w:pPr>
              <w:spacing w:after="40"/>
            </w:pPr>
            <w:r>
              <w:rPr>
                <w:rFonts w:ascii="Georgia" w:hAnsi="Georgia" w:eastAsia="Georgia"/>
                <w:b w:val="0"/>
                <w:i w:val="0"/>
                <w:sz w:val="19"/>
              </w:rPr>
              <w:t>Phase I (Section B): hub-and-spoke exclusivity discount benchmarked against commercial OSB states, tested at multiple discount levels.</w:t>
            </w:r>
          </w:p>
        </w:tc>
      </w:tr>
      <w:tr>
        <w:trPr>
          <w:cantSplit/>
        </w:trPr>
        <w:tc>
          <w:tcPr>
            <w:tcW w:type="dxa" w:w="5184"/>
          </w:tcPr>
          <w:p>
            <w:pPr>
              <w:spacing w:after="40"/>
            </w:pPr>
            <w:r>
              <w:rPr>
                <w:rFonts w:ascii="Georgia" w:hAnsi="Georgia" w:eastAsia="Georgia"/>
                <w:b w:val="0"/>
                <w:i w:val="0"/>
                <w:sz w:val="19"/>
              </w:rPr>
              <w:t>How does the number of operators in the market affect total handle and GGR per adult in comparable U.S. sports betting markets?</w:t>
            </w:r>
          </w:p>
        </w:tc>
        <w:tc>
          <w:tcPr>
            <w:tcW w:type="dxa" w:w="4896"/>
          </w:tcPr>
          <w:p>
            <w:pPr>
              <w:spacing w:after="40"/>
            </w:pPr>
            <w:r>
              <w:rPr>
                <w:rFonts w:ascii="Georgia" w:hAnsi="Georgia" w:eastAsia="Georgia"/>
                <w:b w:val="0"/>
                <w:i w:val="0"/>
                <w:sz w:val="19"/>
              </w:rPr>
              <w:t>Phases I and II (Sections B and C): comparable-state RPA analysis and evaluation of multiple apps under one operator.</w:t>
            </w:r>
          </w:p>
        </w:tc>
      </w:tr>
      <w:tr>
        <w:trPr>
          <w:cantSplit/>
        </w:trPr>
        <w:tc>
          <w:tcPr>
            <w:tcW w:type="dxa" w:w="5184"/>
          </w:tcPr>
          <w:p>
            <w:pPr>
              <w:spacing w:after="40"/>
            </w:pPr>
            <w:r>
              <w:rPr>
                <w:rFonts w:ascii="Georgia" w:hAnsi="Georgia" w:eastAsia="Georgia"/>
                <w:b w:val="0"/>
                <w:i w:val="0"/>
                <w:sz w:val="19"/>
              </w:rPr>
              <w:t>What are the financial implications of each potential brand structure?</w:t>
            </w:r>
          </w:p>
        </w:tc>
        <w:tc>
          <w:tcPr>
            <w:tcW w:type="dxa" w:w="4896"/>
          </w:tcPr>
          <w:p>
            <w:pPr>
              <w:spacing w:after="40"/>
            </w:pPr>
            <w:r>
              <w:rPr>
                <w:rFonts w:ascii="Georgia" w:hAnsi="Georgia" w:eastAsia="Georgia"/>
                <w:b w:val="0"/>
                <w:i w:val="0"/>
                <w:sz w:val="19"/>
              </w:rPr>
              <w:t>Phase II (Section C): three-scenario brand analysis compared financially to the B2B model.</w:t>
            </w:r>
          </w:p>
        </w:tc>
      </w:tr>
      <w:tr>
        <w:trPr>
          <w:cantSplit/>
        </w:trPr>
        <w:tc>
          <w:tcPr>
            <w:tcW w:type="dxa" w:w="5184"/>
          </w:tcPr>
          <w:p>
            <w:pPr>
              <w:spacing w:after="40"/>
            </w:pPr>
            <w:r>
              <w:rPr>
                <w:rFonts w:ascii="Georgia" w:hAnsi="Georgia" w:eastAsia="Georgia"/>
                <w:b w:val="0"/>
                <w:i w:val="0"/>
                <w:sz w:val="19"/>
              </w:rPr>
              <w:t>How are prediction markets currently impacting licensed sports betting revenue in comparable states, and what does that mean for Wisconsin tribal projections?</w:t>
            </w:r>
          </w:p>
        </w:tc>
        <w:tc>
          <w:tcPr>
            <w:tcW w:type="dxa" w:w="4896"/>
          </w:tcPr>
          <w:p>
            <w:pPr>
              <w:spacing w:after="40"/>
            </w:pPr>
            <w:r>
              <w:rPr>
                <w:rFonts w:ascii="Georgia" w:hAnsi="Georgia" w:eastAsia="Georgia"/>
                <w:b w:val="0"/>
                <w:i w:val="0"/>
                <w:sz w:val="19"/>
              </w:rPr>
              <w:t>Phase III (Section E): prediction market analysis and risk assessment.</w:t>
            </w:r>
          </w:p>
        </w:tc>
      </w:tr>
    </w:tbl>
    <w:p>
      <w:pPr>
        <w:pStyle w:val="Heading1"/>
        <w:pageBreakBefore/>
        <w:pBdr>
          <w:bottom w:val="single" w:sz="8" w:space="4" w:color="D9D9D9"/>
        </w:pBdr>
      </w:pPr>
      <w:r>
        <w:t>H. Summary</w:t>
      </w:r>
    </w:p>
    <w:p>
      <w:r>
        <w:rPr>
          <w:rFonts w:ascii="Georgia" w:hAnsi="Georgia" w:eastAsia="Georgia"/>
          <w:b w:val="0"/>
          <w:i w:val="0"/>
          <w:sz w:val="21"/>
        </w:rPr>
        <w:t>Victor-Strategies brings a strong set of relevant skills and experience to this research requirement, and we have assembled a remarkable team of experts to address it. Victor Rocha has been educating Indian Country about new gaming technology for more than 30 years. Gene Johnson has been involved in interactive wagering development since the 1990s. Jay Sarno is a widely respected data analyst with a rich background in casino management, finance, and data analysis. Dustin Gouker is arguably the industry's most informed expert on prediction markets. Alfonso Straffon has a wealth of experience in the online sports betting industry and is highly skilled in statistics and the creation of revenue models. Kahlil Philander is among the most experienced economists and most widely published academics in the global gaming industry.</w:t>
      </w:r>
    </w:p>
    <w:p>
      <w:r>
        <w:rPr>
          <w:rFonts w:ascii="Georgia" w:hAnsi="Georgia" w:eastAsia="Georgia"/>
          <w:b w:val="0"/>
          <w:i w:val="0"/>
          <w:sz w:val="21"/>
        </w:rPr>
        <w:t>We appreciate the opportunity to submit this proposal and look forward to answering any questions you may have. Thank you.</w:t>
      </w:r>
    </w:p>
    <w:p>
      <w:pPr>
        <w:pStyle w:val="Heading1"/>
        <w:pBdr>
          <w:bottom w:val="single" w:sz="8" w:space="4" w:color="D9D9D9"/>
        </w:pBdr>
      </w:pPr>
      <w:r>
        <w:t>I. Our Team</w:t>
      </w:r>
    </w:p>
    <w:p>
      <w:pPr>
        <w:pStyle w:val="Heading2"/>
      </w:pPr>
      <w:r>
        <w:rPr>
          <w:rFonts w:ascii="Calibri" w:hAnsi="Calibri" w:eastAsia="Calibri"/>
          <w:b/>
          <w:i w:val="0"/>
          <w:caps/>
          <w:color w:val="C42127"/>
          <w:sz w:val="26"/>
        </w:rPr>
        <w:t>Gene Johnson</w:t>
      </w:r>
    </w:p>
    <w:p>
      <w:pPr>
        <w:spacing w:after="120"/>
      </w:pPr>
      <w:r>
        <w:rPr>
          <w:rFonts w:ascii="Calibri" w:hAnsi="Calibri" w:eastAsia="Calibri"/>
          <w:b/>
          <w:i/>
          <w:color w:val="6E6E6E"/>
          <w:sz w:val="21"/>
        </w:rPr>
        <w:t>Executive Vice President, Victor-Strategies</w:t>
      </w:r>
    </w:p>
    <w:p>
      <w:r>
        <w:rPr>
          <w:rFonts w:ascii="Georgia" w:hAnsi="Georgia" w:eastAsia="Georgia"/>
          <w:b w:val="0"/>
          <w:i w:val="0"/>
          <w:sz w:val="21"/>
        </w:rPr>
        <w:t>Gene Johnson has more than 30 years of unique experience in the gaming industry, bringing together technology, market research, strategic planning and analysis, and casino marketing — all framed through the lens of the customer. He began working in Atlantic City casinos in 1989 and in 1997 founded EE Johnson Research, a marketing research and consulting firm specializing in the casino industry with a particular focus on gambling motivation and behavior. In 2012 he became a senior executive at an internationally recognized casino gaming consultancy. In 2016 he founded Gaming Knowledge Partners to serve casino gaming clients through an expert network of strategic partners with deep knowledge of gambling behavior, operations, marketing, and property management; later that year he co-founded Victor-Strategies with partners Rob Miller and Victor Rocha.</w:t>
      </w:r>
    </w:p>
    <w:p>
      <w:r>
        <w:rPr>
          <w:rFonts w:ascii="Georgia" w:hAnsi="Georgia" w:eastAsia="Georgia"/>
          <w:b w:val="0"/>
          <w:i w:val="0"/>
          <w:sz w:val="21"/>
        </w:rPr>
        <w:t>With Victor-Strategies, Mr. Johnson extends this expert network globally to provide clients with the highest quality advisory services aimed at improving operations, increasing revenue, and building sustainable economic growth.</w:t>
      </w:r>
    </w:p>
    <w:p>
      <w:r>
        <w:rPr>
          <w:rFonts w:ascii="Georgia" w:hAnsi="Georgia" w:eastAsia="Georgia"/>
          <w:b w:val="0"/>
          <w:i w:val="0"/>
          <w:sz w:val="21"/>
        </w:rPr>
        <w:t>Over his career, Mr. Johnson has managed and conducted numerous qualitative and quantitative studies with gamblers of all types, as well as extensive consumer research for a broad array of corporate, government, and non-profit clients. He has testified before the U.S. Senate, the Federal Trade Commission, and multiple state and tribal governments; has written articles featured in many industry publications; and speaks regularly at major gaming industry conferences on a wide range of subjects.</w:t>
      </w:r>
    </w:p>
    <w:p>
      <w:r>
        <w:rPr>
          <w:rFonts w:ascii="Georgia" w:hAnsi="Georgia" w:eastAsia="Georgia"/>
          <w:b w:val="0"/>
          <w:i w:val="0"/>
          <w:sz w:val="21"/>
        </w:rPr>
        <w:t>Mr. Johnson holds a BA from Washington College in Maryland and an MBA from the University of Phoenix. He has earned Certified Quality Analyst certification from the Quality Assurance Institute and is a member of the American Society for Quality, the American Marketing Association, and the Qualitative Research Consultants Association.</w:t>
      </w:r>
    </w:p>
    <w:p>
      <w:pPr>
        <w:pStyle w:val="Heading2"/>
      </w:pPr>
      <w:r>
        <w:rPr>
          <w:rFonts w:ascii="Calibri" w:hAnsi="Calibri" w:eastAsia="Calibri"/>
          <w:b/>
          <w:i w:val="0"/>
          <w:caps/>
          <w:color w:val="C42127"/>
          <w:sz w:val="26"/>
        </w:rPr>
        <w:t>Victor Rocha</w:t>
      </w:r>
    </w:p>
    <w:p>
      <w:pPr>
        <w:spacing w:after="120"/>
      </w:pPr>
      <w:r>
        <w:rPr>
          <w:rFonts w:ascii="Calibri" w:hAnsi="Calibri" w:eastAsia="Calibri"/>
          <w:b/>
          <w:i/>
          <w:color w:val="6E6E6E"/>
          <w:sz w:val="21"/>
        </w:rPr>
        <w:t>President, Victor-Strategies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Layout w:type="fixed"/>
      </w:tblPr>
      <w:tblGrid>
        <w:gridCol w:w="2520"/>
        <w:gridCol w:w="6840"/>
      </w:tblGrid>
      <w:tr>
        <w:tc>
          <w:tcPr>
            <w:tcW w:type="dxa" w:w="2520"/>
          </w:tcPr>
          <w:p>
            <w:pPr>
              <w:spacing w:after="0"/>
            </w:pPr>
            <w:r>
              <w:drawing>
                <wp:inline xmlns:a="http://schemas.openxmlformats.org/drawingml/2006/main" xmlns:pic="http://schemas.openxmlformats.org/drawingml/2006/picture">
                  <wp:extent cx="1325880" cy="1325880"/>
                  <wp:docPr id="2" name="Picture 2"/>
                  <wp:cNvGraphicFramePr>
                    <a:graphicFrameLocks noChangeAspect="1"/>
                  </wp:cNvGraphicFramePr>
                  <a:graphic>
                    <a:graphicData uri="http://schemas.openxmlformats.org/drawingml/2006/picture">
                      <pic:pic>
                        <pic:nvPicPr>
                          <pic:cNvPr id="0" name="rocha.png"/>
                          <pic:cNvPicPr/>
                        </pic:nvPicPr>
                        <pic:blipFill>
                          <a:blip r:embed="rId23"/>
                          <a:stretch>
                            <a:fillRect/>
                          </a:stretch>
                        </pic:blipFill>
                        <pic:spPr>
                          <a:xfrm>
                            <a:off x="0" y="0"/>
                            <a:ext cx="1325880" cy="1325880"/>
                          </a:xfrm>
                          <a:prstGeom prst="rect"/>
                        </pic:spPr>
                      </pic:pic>
                    </a:graphicData>
                  </a:graphic>
                </wp:inline>
              </w:drawing>
            </w:r>
          </w:p>
        </w:tc>
        <w:tc>
          <w:tcPr>
            <w:tcW w:type="dxa" w:w="6840"/>
          </w:tcPr>
          <w:p>
            <w:pPr>
              <w:spacing w:after="160" w:line="276" w:lineRule="auto"/>
            </w:pPr>
            <w:r>
              <w:rPr>
                <w:rFonts w:ascii="Georgia" w:hAnsi="Georgia" w:eastAsia="Georgia"/>
                <w:b w:val="0"/>
                <w:i w:val="0"/>
                <w:sz w:val="21"/>
              </w:rPr>
              <w:t>Victor Rocha is the president, chief motivator, and inspiration of Victor-Strategies. A respected voice in Indian Country and a frequent contributor to national media publications, Mr. Rocha is a successful Native American Internet entrepreneur with a long-term commitment to bringing information and opportunity to Indian Country. His conferences have received high praise for the quality of their content and speakers, and for bringing political and gaming leaders together with the latest trends and technology. He is a recognized leader in emerging gaming technologies who keeps Indian gaming informed about advances in technology, interactive wagering, and new forms of gambling.</w:t>
            </w:r>
          </w:p>
          <w:p>
            <w:pPr>
              <w:spacing w:after="160" w:line="276" w:lineRule="auto"/>
            </w:pPr>
            <w:r>
              <w:rPr>
                <w:rFonts w:ascii="Georgia" w:hAnsi="Georgia" w:eastAsia="Georgia"/>
                <w:b w:val="0"/>
                <w:i w:val="0"/>
                <w:sz w:val="21"/>
              </w:rPr>
              <w:t>Mr. Rocha is also the owner and editor of Pechanga.net, the premier source of news and information on Indian gaming. Involved in the politics of Indian gaming since 1998, he has earned numerous awards for his work, including the National Indian Gaming Association's 2002 Outstanding Contribution to Indian Country, VCAT's 2001 Catalyst Award, Global Gaming Business Magazine's “40 Under 40,” Raving's 2012 Casino Marketing Lifetime Achievement Award, and the AGA's Lifetime Achievement Award for Gaming Marketing. He currently serves as Conference Chair for the National Indian Gaming Association's annual Indian Gaming Tradeshow and Mid-Year Conference.</w:t>
            </w:r>
          </w:p>
        </w:tc>
      </w:tr>
    </w:tbl>
    <w:p>
      <w:pPr>
        <w:spacing w:after="40"/>
      </w:pPr>
    </w:p>
    <w:p>
      <w:pPr>
        <w:pStyle w:val="Heading2"/>
      </w:pPr>
      <w:r>
        <w:rPr>
          <w:rFonts w:ascii="Calibri" w:hAnsi="Calibri" w:eastAsia="Calibri"/>
          <w:b/>
          <w:i w:val="0"/>
          <w:caps/>
          <w:color w:val="C42127"/>
          <w:sz w:val="26"/>
        </w:rPr>
        <w:t>Jay Sarno</w:t>
      </w:r>
    </w:p>
    <w:p>
      <w:pPr>
        <w:spacing w:after="120"/>
      </w:pPr>
      <w:r>
        <w:rPr>
          <w:rFonts w:ascii="Calibri" w:hAnsi="Calibri" w:eastAsia="Calibri"/>
          <w:b/>
          <w:i/>
          <w:color w:val="6E6E6E"/>
          <w:sz w:val="21"/>
        </w:rPr>
        <w:t>Strategic Partner</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Layout w:type="fixed"/>
      </w:tblPr>
      <w:tblGrid>
        <w:gridCol w:w="2520"/>
        <w:gridCol w:w="6840"/>
      </w:tblGrid>
      <w:tr>
        <w:tc>
          <w:tcPr>
            <w:tcW w:type="dxa" w:w="2520"/>
          </w:tcPr>
          <w:p>
            <w:pPr>
              <w:spacing w:after="0"/>
            </w:pPr>
            <w:r>
              <w:drawing>
                <wp:inline xmlns:a="http://schemas.openxmlformats.org/drawingml/2006/main" xmlns:pic="http://schemas.openxmlformats.org/drawingml/2006/picture">
                  <wp:extent cx="1325880" cy="1856232"/>
                  <wp:docPr id="3" name="Picture 3"/>
                  <wp:cNvGraphicFramePr>
                    <a:graphicFrameLocks noChangeAspect="1"/>
                  </wp:cNvGraphicFramePr>
                  <a:graphic>
                    <a:graphicData uri="http://schemas.openxmlformats.org/drawingml/2006/picture">
                      <pic:pic>
                        <pic:nvPicPr>
                          <pic:cNvPr id="0" name="sarno.jpg"/>
                          <pic:cNvPicPr/>
                        </pic:nvPicPr>
                        <pic:blipFill>
                          <a:blip r:embed="rId24"/>
                          <a:stretch>
                            <a:fillRect/>
                          </a:stretch>
                        </pic:blipFill>
                        <pic:spPr>
                          <a:xfrm>
                            <a:off x="0" y="0"/>
                            <a:ext cx="1325880" cy="1856232"/>
                          </a:xfrm>
                          <a:prstGeom prst="rect"/>
                        </pic:spPr>
                      </pic:pic>
                    </a:graphicData>
                  </a:graphic>
                </wp:inline>
              </w:drawing>
            </w:r>
          </w:p>
        </w:tc>
        <w:tc>
          <w:tcPr>
            <w:tcW w:type="dxa" w:w="6840"/>
          </w:tcPr>
          <w:p>
            <w:pPr>
              <w:spacing w:after="160" w:line="276" w:lineRule="auto"/>
            </w:pPr>
            <w:r>
              <w:rPr>
                <w:rFonts w:ascii="Georgia" w:hAnsi="Georgia" w:eastAsia="Georgia"/>
                <w:b w:val="0"/>
                <w:i w:val="0"/>
                <w:sz w:val="21"/>
              </w:rPr>
              <w:t>Jay Sarno is a Victor-Strategies strategic partner widely known in the gaming industry for his analytical skills — building rigorous quantitative models, streamlining processes, and providing solutions that answer a wide range of client needs.</w:t>
            </w:r>
          </w:p>
          <w:p>
            <w:pPr>
              <w:spacing w:after="160" w:line="276" w:lineRule="auto"/>
            </w:pPr>
            <w:r>
              <w:rPr>
                <w:rFonts w:ascii="Georgia" w:hAnsi="Georgia" w:eastAsia="Georgia"/>
                <w:b w:val="0"/>
                <w:i w:val="0"/>
                <w:sz w:val="21"/>
              </w:rPr>
              <w:t>A twenty-five-year business veteran, Jay has broad practical expertise across operational and applied areas including traditional corporate finance, off-Wall Street capital management and investment analysis, sales management, compliance, business intelligence software development, and statistical analysis. He has conducted feasibility studies in the Midwest and market analyses of the Iowa regional gaming market.</w:t>
            </w:r>
          </w:p>
          <w:p>
            <w:pPr>
              <w:spacing w:after="160" w:line="276" w:lineRule="auto"/>
            </w:pPr>
            <w:r>
              <w:rPr>
                <w:rFonts w:ascii="Georgia" w:hAnsi="Georgia" w:eastAsia="Georgia"/>
                <w:b w:val="0"/>
                <w:i w:val="0"/>
                <w:sz w:val="21"/>
              </w:rPr>
              <w:t>Jay has held positions ranging from Vice President of Business Development and Corporate Compliance Officer to Assistant Casino General Manager and Financial Officer, with experience at Advanced Casino Systems, Hollywood Casino Corporation, the Sands Casino in Atlantic City, and the Golden Nugget Casino/Resort in Las Vegas.</w:t>
            </w:r>
          </w:p>
          <w:p>
            <w:pPr>
              <w:spacing w:after="160" w:line="276" w:lineRule="auto"/>
            </w:pPr>
            <w:r>
              <w:rPr>
                <w:rFonts w:ascii="Georgia" w:hAnsi="Georgia" w:eastAsia="Georgia"/>
                <w:b w:val="0"/>
                <w:i w:val="0"/>
                <w:sz w:val="21"/>
              </w:rPr>
              <w:t>Jay received his BS in Finance from the University of Nevada, Las Vegas and his MBA from Sacred Heart University in Connecticut. He has taught undergraduate- and graduate-level business coursework in the School of Professional Studies at Stockton University in New Jersey.</w:t>
            </w:r>
          </w:p>
        </w:tc>
      </w:tr>
    </w:tbl>
    <w:p>
      <w:pPr>
        <w:spacing w:after="40"/>
      </w:pPr>
    </w:p>
    <w:p>
      <w:pPr>
        <w:pStyle w:val="Heading2"/>
      </w:pPr>
      <w:r>
        <w:rPr>
          <w:rFonts w:ascii="Calibri" w:hAnsi="Calibri" w:eastAsia="Calibri"/>
          <w:b/>
          <w:i w:val="0"/>
          <w:caps/>
          <w:color w:val="C42127"/>
          <w:sz w:val="26"/>
        </w:rPr>
        <w:t>Dustin Gouker</w:t>
      </w:r>
    </w:p>
    <w:p>
      <w:pPr>
        <w:spacing w:after="120"/>
      </w:pPr>
      <w:r>
        <w:rPr>
          <w:rFonts w:ascii="Calibri" w:hAnsi="Calibri" w:eastAsia="Calibri"/>
          <w:b/>
          <w:i/>
          <w:color w:val="6E6E6E"/>
          <w:sz w:val="21"/>
        </w:rPr>
        <w:t>Strategic Partner</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Layout w:type="fixed"/>
      </w:tblPr>
      <w:tblGrid>
        <w:gridCol w:w="2520"/>
        <w:gridCol w:w="6840"/>
      </w:tblGrid>
      <w:tr>
        <w:tc>
          <w:tcPr>
            <w:tcW w:type="dxa" w:w="2520"/>
          </w:tcPr>
          <w:p>
            <w:pPr>
              <w:spacing w:after="0"/>
            </w:pPr>
            <w:r>
              <w:drawing>
                <wp:inline xmlns:a="http://schemas.openxmlformats.org/drawingml/2006/main" xmlns:pic="http://schemas.openxmlformats.org/drawingml/2006/picture">
                  <wp:extent cx="1325880" cy="1887142"/>
                  <wp:docPr id="4" name="Picture 4"/>
                  <wp:cNvGraphicFramePr>
                    <a:graphicFrameLocks noChangeAspect="1"/>
                  </wp:cNvGraphicFramePr>
                  <a:graphic>
                    <a:graphicData uri="http://schemas.openxmlformats.org/drawingml/2006/picture">
                      <pic:pic>
                        <pic:nvPicPr>
                          <pic:cNvPr id="0" name="gouker.jpg"/>
                          <pic:cNvPicPr/>
                        </pic:nvPicPr>
                        <pic:blipFill>
                          <a:blip r:embed="rId25"/>
                          <a:stretch>
                            <a:fillRect/>
                          </a:stretch>
                        </pic:blipFill>
                        <pic:spPr>
                          <a:xfrm>
                            <a:off x="0" y="0"/>
                            <a:ext cx="1325880" cy="1887142"/>
                          </a:xfrm>
                          <a:prstGeom prst="rect"/>
                        </pic:spPr>
                      </pic:pic>
                    </a:graphicData>
                  </a:graphic>
                </wp:inline>
              </w:drawing>
            </w:r>
          </w:p>
        </w:tc>
        <w:tc>
          <w:tcPr>
            <w:tcW w:type="dxa" w:w="6840"/>
          </w:tcPr>
          <w:p>
            <w:pPr>
              <w:spacing w:after="160" w:line="276" w:lineRule="auto"/>
            </w:pPr>
            <w:r>
              <w:rPr>
                <w:rFonts w:ascii="Georgia" w:hAnsi="Georgia" w:eastAsia="Georgia"/>
                <w:b w:val="0"/>
                <w:i w:val="0"/>
                <w:sz w:val="21"/>
              </w:rPr>
              <w:t>Dustin Gouker has been in the gambling industry in one way or another for two decades, beginning with playing poker and creating poker content. He spent much of his early career as a newspaper writer and editor before joining a startup in 2015 to lead the Legal Sports Report blog in its early days covering the daily fantasy sports industry. From there he helped build LSR into the go-to source of information on the sports betting industry — along with a network of other gambling content sites that became leaders in the space. The startup was acquired in 2017 by Catena Media, where Dustin became head of content and eventually a vice president for North America.</w:t>
            </w:r>
          </w:p>
          <w:p>
            <w:pPr>
              <w:spacing w:after="160" w:line="276" w:lineRule="auto"/>
            </w:pPr>
            <w:r>
              <w:rPr>
                <w:rFonts w:ascii="Georgia" w:hAnsi="Georgia" w:eastAsia="Georgia"/>
                <w:b w:val="0"/>
                <w:i w:val="0"/>
                <w:sz w:val="21"/>
              </w:rPr>
              <w:t>He left that role at the start of 2023 and now offers consulting services through Closing Line Consulting and publishes two newsletters, The Closing Line and The Event Horizon, reaching nearly 1,500 subscribers. Dustin has been cited over the years by numerous media outlets, including The Washington Post, ESPN, Yahoo Finance, and Axios.</w:t>
            </w:r>
          </w:p>
        </w:tc>
      </w:tr>
    </w:tbl>
    <w:p>
      <w:pPr>
        <w:spacing w:after="40"/>
      </w:pPr>
    </w:p>
    <w:p>
      <w:pPr>
        <w:pStyle w:val="Heading2"/>
      </w:pPr>
      <w:r>
        <w:rPr>
          <w:rFonts w:ascii="Calibri" w:hAnsi="Calibri" w:eastAsia="Calibri"/>
          <w:b/>
          <w:i w:val="0"/>
          <w:caps/>
          <w:color w:val="C42127"/>
          <w:sz w:val="26"/>
        </w:rPr>
        <w:t>Alfonso Straffon</w:t>
      </w:r>
    </w:p>
    <w:p>
      <w:pPr>
        <w:spacing w:after="120"/>
      </w:pPr>
      <w:r>
        <w:rPr>
          <w:rFonts w:ascii="Calibri" w:hAnsi="Calibri" w:eastAsia="Calibri"/>
          <w:b/>
          <w:i/>
          <w:color w:val="6E6E6E"/>
          <w:sz w:val="21"/>
        </w:rPr>
        <w:t>Strategic Partner</w:t>
      </w:r>
    </w:p>
    <w:p>
      <w:r>
        <w:rPr>
          <w:rFonts w:ascii="Georgia" w:hAnsi="Georgia" w:eastAsia="Georgia"/>
          <w:b w:val="0"/>
          <w:i w:val="0"/>
          <w:sz w:val="21"/>
        </w:rPr>
        <w:t>Alfonso brings a unique mix of relevant experience to the project. He began his career in the sports betting industry in his native Costa Rica, where he worked in risk management and trading for eight years. In 2008 he left the industry to pursue a career in investment management, primarily in roles as a bond trader and research analyst. In 2018, following the repeal of PASPA, he began offering his services as an independent consultant and is regarded as a highly reliable source of data and industry analytics.</w:t>
      </w:r>
    </w:p>
    <w:p>
      <w:r>
        <w:rPr>
          <w:rFonts w:ascii="Georgia" w:hAnsi="Georgia" w:eastAsia="Georgia"/>
          <w:b w:val="0"/>
          <w:i w:val="0"/>
          <w:sz w:val="21"/>
        </w:rPr>
        <w:t>He holds a Bachelor's degree in Business Administration from the University of Costa Rica and an MBA from Wake Forest University, and is currently pursuing a Master's in Statistics at NC State University. He speaks fluent English and Spanish.</w:t>
      </w:r>
    </w:p>
    <w:p>
      <w:pPr>
        <w:pStyle w:val="Heading2"/>
      </w:pPr>
      <w:r>
        <w:rPr>
          <w:rFonts w:ascii="Calibri" w:hAnsi="Calibri" w:eastAsia="Calibri"/>
          <w:b/>
          <w:i w:val="0"/>
          <w:caps/>
          <w:color w:val="C42127"/>
          <w:sz w:val="26"/>
        </w:rPr>
        <w:t>Kahlil Philander, PhD</w:t>
      </w:r>
    </w:p>
    <w:p>
      <w:pPr>
        <w:spacing w:after="120"/>
      </w:pPr>
      <w:r>
        <w:rPr>
          <w:rFonts w:ascii="Calibri" w:hAnsi="Calibri" w:eastAsia="Calibri"/>
          <w:b/>
          <w:i/>
          <w:color w:val="6E6E6E"/>
          <w:sz w:val="21"/>
        </w:rPr>
        <w:t>Lead Economist — GP Consulting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Layout w:type="fixed"/>
      </w:tblPr>
      <w:tblGrid>
        <w:gridCol w:w="2520"/>
        <w:gridCol w:w="6840"/>
      </w:tblGrid>
      <w:tr>
        <w:tc>
          <w:tcPr>
            <w:tcW w:type="dxa" w:w="2520"/>
          </w:tcPr>
          <w:p>
            <w:pPr>
              <w:spacing w:after="0"/>
            </w:pPr>
            <w:r>
              <w:drawing>
                <wp:inline xmlns:a="http://schemas.openxmlformats.org/drawingml/2006/main" xmlns:pic="http://schemas.openxmlformats.org/drawingml/2006/picture">
                  <wp:extent cx="1325880" cy="1325880"/>
                  <wp:docPr id="5" name="Picture 5"/>
                  <wp:cNvGraphicFramePr>
                    <a:graphicFrameLocks noChangeAspect="1"/>
                  </wp:cNvGraphicFramePr>
                  <a:graphic>
                    <a:graphicData uri="http://schemas.openxmlformats.org/drawingml/2006/picture">
                      <pic:pic>
                        <pic:nvPicPr>
                          <pic:cNvPr id="0" name="philander.jpg"/>
                          <pic:cNvPicPr/>
                        </pic:nvPicPr>
                        <pic:blipFill>
                          <a:blip r:embed="rId26"/>
                          <a:stretch>
                            <a:fillRect/>
                          </a:stretch>
                        </pic:blipFill>
                        <pic:spPr>
                          <a:xfrm>
                            <a:off x="0" y="0"/>
                            <a:ext cx="1325880" cy="1325880"/>
                          </a:xfrm>
                          <a:prstGeom prst="rect"/>
                        </pic:spPr>
                      </pic:pic>
                    </a:graphicData>
                  </a:graphic>
                </wp:inline>
              </w:drawing>
            </w:r>
          </w:p>
        </w:tc>
        <w:tc>
          <w:tcPr>
            <w:tcW w:type="dxa" w:w="6840"/>
          </w:tcPr>
          <w:p>
            <w:pPr>
              <w:spacing w:after="160" w:line="276" w:lineRule="auto"/>
            </w:pPr>
            <w:r>
              <w:rPr>
                <w:rFonts w:ascii="Georgia" w:hAnsi="Georgia" w:eastAsia="Georgia"/>
                <w:b w:val="0"/>
                <w:i w:val="0"/>
                <w:sz w:val="21"/>
              </w:rPr>
              <w:t>Dr. Kahlil Philander is an economist and gaming researcher specializing in the analysis of large-scale economic development initiatives, regulatory policy, and consumer behavior in the gaming industry. He is a tenured Associate Professor at Washington State University's Carson College of Business and holds an honorary appointment in the School of Psychology at the University of Sydney. With nearly 20 years of applied research experience across academia, industry, and government, he offers a distinctive blend of technical expertise and policy insight, particularly in contexts involving tourism, entertainment, and community impact.</w:t>
            </w:r>
          </w:p>
          <w:p>
            <w:pPr>
              <w:spacing w:after="160" w:line="276" w:lineRule="auto"/>
            </w:pPr>
            <w:r>
              <w:rPr>
                <w:rFonts w:ascii="Georgia" w:hAnsi="Georgia" w:eastAsia="Georgia"/>
                <w:b w:val="0"/>
                <w:i w:val="0"/>
                <w:sz w:val="21"/>
              </w:rPr>
              <w:t>His research spans regional economic forecasting, taxation policy, and the socioeconomic outcomes of the gaming industry, and has been funded by government agencies and private-sector clients. Across more than 165 consulting engagements since 2005, Dr. Philander has led economic impact, market, and fiscal analyses of gaming for state, tribal, and national governments and for major operators. He previously served as Director of Social Responsibility at the British Columbia Lottery Corporation, where he oversaw the GameSense program, and as Director of Research at the University of Nevada, Las Vegas International Gaming Institute. In those roles he collaborated with stakeholders ranging from legislators and municipal planners to health officials and corporate executives to evaluate the economic, social, and regulatory implications of major capital projects.</w:t>
            </w:r>
          </w:p>
          <w:p>
            <w:pPr>
              <w:spacing w:after="160" w:line="276" w:lineRule="auto"/>
            </w:pPr>
            <w:r>
              <w:rPr>
                <w:rFonts w:ascii="Georgia" w:hAnsi="Georgia" w:eastAsia="Georgia"/>
                <w:b w:val="0"/>
                <w:i w:val="0"/>
                <w:sz w:val="21"/>
              </w:rPr>
              <w:t>Dr. Philander holds a PhD in Hospitality Administration from the University of Nevada, Las Vegas, with a dissertation on the economic impact of casino tax policy; an MA in Economics from the University of Toronto; and a BCom (Honors) in Finance and Economics from the University of British Columbia. His portfolio includes more than 40 peer-reviewed publications in top-tier journals such as the Journal of Policy Modeling, the Journal of Gambling Studies, and Tourism Management, alongside numerous industry reports. He has provided expert testimony to governmental bodies and consulted for major gaming companies and governments on economic modeling and policy strategy; his commentary has been featured by CNBC, the Financial Times, and Wired.</w:t>
            </w:r>
          </w:p>
        </w:tc>
      </w:tr>
    </w:tbl>
    <w:p>
      <w:pPr>
        <w:spacing w:after="40"/>
      </w:pPr>
    </w:p>
    <w:p>
      <w:pPr>
        <w:pStyle w:val="Heading3"/>
      </w:pPr>
      <w:r>
        <w:t>Notable Works</w:t>
      </w:r>
    </w:p>
    <w:p>
      <w:pPr>
        <w:pStyle w:val="ListBullet"/>
      </w:pPr>
      <w:r>
        <w:rPr>
          <w:rFonts w:ascii="Georgia" w:hAnsi="Georgia" w:eastAsia="Georgia"/>
          <w:b w:val="0"/>
          <w:i w:val="0"/>
          <w:sz w:val="21"/>
        </w:rPr>
        <w:t>Philander, K., Abarbanel, B., &amp; Repetti, T. (2015). Consumer spending in the gaming industry: Evidence of complementary demand in casino and online venues. International Gambling Studies.</w:t>
      </w:r>
    </w:p>
    <w:p>
      <w:pPr>
        <w:pStyle w:val="ListBullet"/>
      </w:pPr>
      <w:r>
        <w:rPr>
          <w:rFonts w:ascii="Georgia" w:hAnsi="Georgia" w:eastAsia="Georgia"/>
          <w:b w:val="0"/>
          <w:i w:val="0"/>
          <w:sz w:val="21"/>
        </w:rPr>
        <w:t>Philander, K., Wimmer, B., Bernhard, B., &amp; Singh, A. U.S. casino revenue taxes and short-run labor outcomes. Journal of Policy Modeling.</w:t>
      </w:r>
    </w:p>
    <w:p>
      <w:pPr>
        <w:pStyle w:val="ListBullet"/>
      </w:pPr>
      <w:r>
        <w:rPr>
          <w:rFonts w:ascii="Georgia" w:hAnsi="Georgia" w:eastAsia="Georgia"/>
          <w:b w:val="0"/>
          <w:i w:val="0"/>
          <w:sz w:val="21"/>
        </w:rPr>
        <w:t>Philander, K. (2014). Specific or ad valorem? A theory of casino taxation. Tourism Economics.</w:t>
      </w:r>
    </w:p>
    <w:p>
      <w:pPr>
        <w:pStyle w:val="ListBullet"/>
      </w:pPr>
      <w:r>
        <w:rPr>
          <w:rFonts w:ascii="Georgia" w:hAnsi="Georgia" w:eastAsia="Georgia"/>
          <w:b w:val="0"/>
          <w:i w:val="0"/>
          <w:sz w:val="21"/>
        </w:rPr>
        <w:t>Philander, K. (2017). Entry fees as a responsible gambling tool: An economic analysis. UNLV Gaming Research &amp; Review Journal.</w:t>
      </w:r>
    </w:p>
    <w:p>
      <w:pPr>
        <w:pStyle w:val="ListBullet"/>
      </w:pPr>
      <w:r>
        <w:rPr>
          <w:rFonts w:ascii="Georgia" w:hAnsi="Georgia" w:eastAsia="Georgia"/>
          <w:b w:val="0"/>
          <w:i w:val="0"/>
          <w:sz w:val="21"/>
        </w:rPr>
        <w:t>Philander, K. (2019). Regional impacts of casino availability on gambling problems: Evidence from the Canadian Community Health Survey. Tourism Management.</w:t>
      </w:r>
    </w:p>
    <w:p>
      <w:pPr>
        <w:pStyle w:val="ListBullet"/>
      </w:pPr>
      <w:r>
        <w:rPr>
          <w:rFonts w:ascii="Georgia" w:hAnsi="Georgia" w:eastAsia="Georgia"/>
          <w:b w:val="0"/>
          <w:i w:val="0"/>
          <w:sz w:val="21"/>
        </w:rPr>
        <w:t>Philander, K., Tabri, N., Wood, R., &amp; Wohl, M. (2022). Retail access and addictive consumption: Evidence from casino gambling. International Gambling Studies.</w:t>
      </w:r>
    </w:p>
    <w:p>
      <w:pPr>
        <w:pStyle w:val="ListBullet"/>
      </w:pPr>
      <w:r>
        <w:rPr>
          <w:rFonts w:ascii="Georgia" w:hAnsi="Georgia" w:eastAsia="Georgia"/>
          <w:b w:val="0"/>
          <w:i w:val="0"/>
          <w:sz w:val="21"/>
        </w:rPr>
        <w:t>Philander, K., &amp; Roe, S. (2013). The impact of wage rate growth on tourism competitiveness. Tourism Economics.</w:t>
      </w:r>
    </w:p>
    <w:p>
      <w:pPr>
        <w:pStyle w:val="Heading1"/>
        <w:pageBreakBefore/>
        <w:pBdr>
          <w:bottom w:val="single" w:sz="8" w:space="4" w:color="D9D9D9"/>
        </w:pBdr>
      </w:pPr>
      <w:r>
        <w:t>J. About GP Consulting</w:t>
      </w:r>
    </w:p>
    <w:p>
      <w:r>
        <w:rPr>
          <w:rFonts w:ascii="Georgia" w:hAnsi="Georgia" w:eastAsia="Georgia"/>
          <w:b w:val="0"/>
          <w:i w:val="0"/>
          <w:sz w:val="21"/>
        </w:rPr>
        <w:t>GP Consulting provides economic analysis and policy research on gambling markets for governments, tribal nations, regulators, and commercial operators. The firm's work spans statewide market and economic impact studies, gaming tax and fiscal policy analysis, revenue and demand forecasting, responsible gambling program development and audit, and consulting and testifying expert support in U.S. and international proceedings. Engagements range from single-jurisdiction impact assessments to multi-year advisory relationships with national governments and newly established regulatory authorities.</w:t>
      </w:r>
    </w:p>
    <w:p>
      <w:r>
        <w:rPr>
          <w:rFonts w:ascii="Georgia" w:hAnsi="Georgia" w:eastAsia="Georgia"/>
          <w:b w:val="0"/>
          <w:i w:val="0"/>
          <w:sz w:val="21"/>
        </w:rPr>
        <w:t>At the core of the firm's quantitative work is the Gaming Economic Modeling System (GEMS), a proprietary input-output platform covering all 50 states and built on federal economic accounts (BEA, BLS) with land-based and online gaming-specific multipliers. GEMS is purpose-built for gaming in a way standard economic impact software is not. Off-the-shelf platforms model casinos inside a blended industry sector that combines gambling with golf courses, fitness centers, and amusement parks — activities with fundamentally different labor and cost structures — which systematically misstates the employment and value-added effects of a gaming property. GEMS isolates gambling-specific multipliers from federal detail accounts and adds dedicated online-gambling coefficients that conventional models lack entirely, producing materially more accurate results for both land-based and online operations.</w:t>
      </w:r>
    </w:p>
    <w:p>
      <w:r>
        <w:rPr>
          <w:rFonts w:ascii="Georgia" w:hAnsi="Georgia" w:eastAsia="Georgia"/>
          <w:b w:val="0"/>
          <w:i w:val="0"/>
          <w:sz w:val="21"/>
        </w:rPr>
        <w:t>GEMS produces transparent, replicable estimates of output, value added, employment, wages, and state and local fiscal effects, decomposed into direct, indirect, and induced impacts. It incorporates direct employment data where available and enables rapid, consistent comparison of alternative revenue scenarios.</w:t>
      </w:r>
    </w:p>
    <w:p>
      <w:r>
        <w:rPr>
          <w:rFonts w:ascii="Georgia" w:hAnsi="Georgia" w:eastAsia="Georgia"/>
          <w:b w:val="0"/>
          <w:i w:val="0"/>
          <w:sz w:val="21"/>
        </w:rPr>
        <w:t>GP Consulting has completed more than 165 engagements since 2005, including economic impact and market studies for state, tribal, and national governments and for major gaming operators. Beyond economic analysis, the firm brings deep regulatory and policy expertise.</w:t>
      </w:r>
    </w:p>
    <w:p>
      <w:pPr>
        <w:pStyle w:val="Heading2"/>
      </w:pPr>
      <w:r>
        <w:t>Selected Engagements</w:t>
      </w:r>
    </w:p>
    <w:p>
      <w:pPr>
        <w:pStyle w:val="ListBullet"/>
      </w:pPr>
      <w:r>
        <w:rPr>
          <w:rFonts w:ascii="Georgia" w:hAnsi="Georgia" w:eastAsia="Georgia"/>
          <w:b/>
          <w:i w:val="0"/>
          <w:sz w:val="21"/>
        </w:rPr>
        <w:t xml:space="preserve">Economic Impact Analysis — Choctaw Nation of Oklahoma. </w:t>
      </w:r>
      <w:r>
        <w:rPr>
          <w:rFonts w:ascii="Georgia" w:hAnsi="Georgia" w:eastAsia="Georgia"/>
          <w:b w:val="0"/>
          <w:i w:val="0"/>
          <w:sz w:val="21"/>
        </w:rPr>
        <w:t>Lead Economist for analysis of the Nation's gaming operations, with Victor-Strategies.</w:t>
      </w:r>
    </w:p>
    <w:p>
      <w:pPr>
        <w:pStyle w:val="ListBullet"/>
      </w:pPr>
      <w:r>
        <w:rPr>
          <w:rFonts w:ascii="Georgia" w:hAnsi="Georgia" w:eastAsia="Georgia"/>
          <w:b/>
          <w:i w:val="0"/>
          <w:sz w:val="21"/>
        </w:rPr>
        <w:t xml:space="preserve">Economic Impact Analysis and Market Forecast — Washington State Gambling Commission. </w:t>
      </w:r>
      <w:r>
        <w:rPr>
          <w:rFonts w:ascii="Georgia" w:hAnsi="Georgia" w:eastAsia="Georgia"/>
          <w:b w:val="0"/>
          <w:i w:val="0"/>
          <w:sz w:val="21"/>
        </w:rPr>
        <w:t>Principal investigator for gaming market analysis and revenue forecasting.</w:t>
      </w:r>
    </w:p>
    <w:p>
      <w:pPr>
        <w:pStyle w:val="ListBullet"/>
      </w:pPr>
      <w:r>
        <w:rPr>
          <w:rFonts w:ascii="Georgia" w:hAnsi="Georgia" w:eastAsia="Georgia"/>
          <w:b/>
          <w:i w:val="0"/>
          <w:sz w:val="21"/>
        </w:rPr>
        <w:t xml:space="preserve">Economic Analysis and Forecasting of Sports Betting — Seminole Hard Rock. </w:t>
      </w:r>
      <w:r>
        <w:rPr>
          <w:rFonts w:ascii="Georgia" w:hAnsi="Georgia" w:eastAsia="Georgia"/>
          <w:b w:val="0"/>
          <w:i w:val="0"/>
          <w:sz w:val="21"/>
        </w:rPr>
        <w:t>Analysis supporting Florida sports betting strategy.</w:t>
      </w:r>
    </w:p>
    <w:p>
      <w:pPr>
        <w:pStyle w:val="ListBullet"/>
      </w:pPr>
      <w:r>
        <w:rPr>
          <w:rFonts w:ascii="Georgia" w:hAnsi="Georgia" w:eastAsia="Georgia"/>
          <w:b/>
          <w:i w:val="0"/>
          <w:sz w:val="21"/>
        </w:rPr>
        <w:t xml:space="preserve">Economic Impact Study of Sports Betting — Indiana Gaming Commission. </w:t>
      </w:r>
      <w:r>
        <w:rPr>
          <w:rFonts w:ascii="Georgia" w:hAnsi="Georgia" w:eastAsia="Georgia"/>
          <w:b w:val="0"/>
          <w:i w:val="0"/>
          <w:sz w:val="21"/>
        </w:rPr>
        <w:t>Lead Economist for the statewide economic and fiscal impact analysis of legal sports wagering, including alternative tax scenarios.</w:t>
      </w:r>
    </w:p>
    <w:p>
      <w:pPr>
        <w:pStyle w:val="ListBullet"/>
      </w:pPr>
      <w:r>
        <w:rPr>
          <w:rFonts w:ascii="Georgia" w:hAnsi="Georgia" w:eastAsia="Georgia"/>
          <w:b/>
          <w:i w:val="0"/>
          <w:sz w:val="21"/>
        </w:rPr>
        <w:t xml:space="preserve">Economic and Market Study of iGaming — West Virginia Lottery. </w:t>
      </w:r>
      <w:r>
        <w:rPr>
          <w:rFonts w:ascii="Georgia" w:hAnsi="Georgia" w:eastAsia="Georgia"/>
          <w:b w:val="0"/>
          <w:i w:val="0"/>
          <w:sz w:val="21"/>
        </w:rPr>
        <w:t>Lead Economist for market and economic analysis of internet gaming legalization.</w:t>
      </w:r>
    </w:p>
    <w:p>
      <w:pPr>
        <w:pStyle w:val="ListBullet"/>
      </w:pPr>
      <w:r>
        <w:rPr>
          <w:rFonts w:ascii="Georgia" w:hAnsi="Georgia" w:eastAsia="Georgia"/>
          <w:b/>
          <w:i w:val="0"/>
          <w:sz w:val="21"/>
        </w:rPr>
        <w:t xml:space="preserve">Economic Study of the National Gaming and Lottery Sector — Government of The Bahamas. </w:t>
      </w:r>
      <w:r>
        <w:rPr>
          <w:rFonts w:ascii="Georgia" w:hAnsi="Georgia" w:eastAsia="Georgia"/>
          <w:b w:val="0"/>
          <w:i w:val="0"/>
          <w:sz w:val="21"/>
        </w:rPr>
        <w:t>Lead Economist for an engagement spanning gaming tax reform.</w:t>
      </w:r>
    </w:p>
    <w:p>
      <w:pPr>
        <w:pStyle w:val="ListBullet"/>
      </w:pPr>
      <w:r>
        <w:rPr>
          <w:rFonts w:ascii="Georgia" w:hAnsi="Georgia" w:eastAsia="Georgia"/>
          <w:b/>
          <w:i w:val="0"/>
          <w:sz w:val="21"/>
        </w:rPr>
        <w:t xml:space="preserve">Economic Impact Modeling — Wynn Resorts. </w:t>
      </w:r>
      <w:r>
        <w:rPr>
          <w:rFonts w:ascii="Georgia" w:hAnsi="Georgia" w:eastAsia="Georgia"/>
          <w:b w:val="0"/>
          <w:i w:val="0"/>
          <w:sz w:val="21"/>
        </w:rPr>
        <w:t>Lead Economist for development impact modeling.</w:t>
      </w:r>
    </w:p>
    <w:p>
      <w:pPr>
        <w:pStyle w:val="ListBullet"/>
      </w:pPr>
      <w:r>
        <w:rPr>
          <w:rFonts w:ascii="Georgia" w:hAnsi="Georgia" w:eastAsia="Georgia"/>
          <w:b/>
          <w:i w:val="0"/>
          <w:sz w:val="21"/>
        </w:rPr>
        <w:t>Economic and Social Impact Study of Japanese Integrated Resorts — US-Japan Business Council, via UNLV International Gaming Institute.</w:t>
      </w:r>
    </w:p>
    <w:p>
      <w:pPr>
        <w:pStyle w:val="ListBullet"/>
      </w:pPr>
      <w:r>
        <w:rPr>
          <w:rFonts w:ascii="Georgia" w:hAnsi="Georgia" w:eastAsia="Georgia"/>
          <w:b/>
          <w:i w:val="0"/>
          <w:sz w:val="21"/>
        </w:rPr>
        <w:t xml:space="preserve">Economic Impact Study of Online and Retail Gaming — MGM Resorts International. </w:t>
      </w:r>
      <w:r>
        <w:rPr>
          <w:rFonts w:ascii="Georgia" w:hAnsi="Georgia" w:eastAsia="Georgia"/>
          <w:b w:val="0"/>
          <w:i w:val="0"/>
          <w:sz w:val="21"/>
        </w:rPr>
        <w:t>Published economic impact analysis of online and land-based operations.</w:t>
      </w:r>
    </w:p>
    <w:p>
      <w:pPr>
        <w:pStyle w:val="ListBullet"/>
      </w:pPr>
      <w:r>
        <w:rPr>
          <w:rFonts w:ascii="Georgia" w:hAnsi="Georgia" w:eastAsia="Georgia"/>
          <w:b/>
          <w:i w:val="0"/>
          <w:sz w:val="21"/>
        </w:rPr>
        <w:t xml:space="preserve">Economic Research and Regulatory Advisory Services — General Commercial Gaming Regulatory Authority, United Arab Emirates. </w:t>
      </w:r>
      <w:r>
        <w:rPr>
          <w:rFonts w:ascii="Georgia" w:hAnsi="Georgia" w:eastAsia="Georgia"/>
          <w:b w:val="0"/>
          <w:i w:val="0"/>
          <w:sz w:val="21"/>
        </w:rPr>
        <w:t>Research Advisor to a newly established federal gaming regulator.</w:t>
      </w:r>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6E6E6E"/>
        <w:sz w:val="17"/>
      </w:rPr>
      <w:t xml:space="preserve">DRAFT — Confidential   |   Page </w:t>
    </w:r>
    <w:r>
      <w:rPr>
        <w:rFonts w:ascii="Calibri" w:hAnsi="Calibri" w:eastAsia="Calibri"/>
        <w:b w:val="0"/>
        <w:i w:val="0"/>
        <w:color w:val="6E6E6E"/>
        <w:sz w:val="17"/>
      </w:rPr>
      <w:fldChar w:fldCharType="begin"/>
    </w:r>
    <w:r>
      <w:rPr>
        <w:rFonts w:ascii="Calibri" w:hAnsi="Calibri" w:eastAsia="Calibri"/>
        <w:b w:val="0"/>
        <w:i w:val="0"/>
        <w:color w:val="6E6E6E"/>
        <w:sz w:val="17"/>
      </w:rPr>
      <w:instrText xml:space="preserve">PAGE</w:instrText>
    </w:r>
    <w:r>
      <w:rPr>
        <w:rFonts w:ascii="Calibri" w:hAnsi="Calibri" w:eastAsia="Calibri"/>
        <w:b w:val="0"/>
        <w:i w:val="0"/>
        <w:color w:val="6E6E6E"/>
        <w:sz w:val="17"/>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D9D9D9"/>
      </w:pBdr>
    </w:pPr>
    <w:r>
      <w:rPr>
        <w:rFonts w:ascii="Calibri" w:hAnsi="Calibri" w:eastAsia="Calibri"/>
        <w:b w:val="0"/>
        <w:i w:val="0"/>
        <w:color w:val="6E6E6E"/>
        <w:sz w:val="17"/>
      </w:rPr>
      <w:t>Victor-Strategies  |  Wisconsin Online Sports Betting Data Analysis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Georgia" w:hAnsi="Georgia" w:eastAsia="Georgia"/>
      <w:color w:val="3F3F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C4212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3F3F3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i w:val="0"/>
      <w:color w:val="6E6E6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76" w:lineRule="auto"/>
      <w:contextualSpacing/>
    </w:pPr>
    <w:rPr>
      <w:rFonts w:ascii="Georgia" w:hAnsi="Georgia"/>
      <w:color w:val="3F3F3F"/>
      <w:sz w:val="21"/>
    </w:rPr>
  </w:style>
  <w:style w:type="paragraph" w:styleId="ListBullet2">
    <w:name w:val="List Bullet 2"/>
    <w:basedOn w:val="Normal"/>
    <w:uiPriority w:val="99"/>
    <w:unhideWhenUsed/>
    <w:rsid w:val="00326F90"/>
    <w:pPr>
      <w:numPr>
        <w:numId w:val="2"/>
      </w:numPr>
      <w:spacing w:after="100" w:line="276" w:lineRule="auto"/>
      <w:contextualSpacing/>
    </w:pPr>
    <w:rPr>
      <w:rFonts w:ascii="Georgia" w:hAnsi="Georgia"/>
      <w:color w:val="3F3F3F"/>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ideagrowth.org/research/" TargetMode="External"/><Relationship Id="rId13" Type="http://schemas.openxmlformats.org/officeDocument/2006/relationships/hyperlink" Target="https://ideagrowth.org/wp-content/uploads/2020/01/Economic-Impact-of-NJ-iGaming_FULL-REPORT_12.19.19.pdf" TargetMode="External"/><Relationship Id="rId14" Type="http://schemas.openxmlformats.org/officeDocument/2006/relationships/hyperlink" Target="https://www.in.gov/igc/files/Indiana-SportsBettingReport-Final-Oct18-1.pdf" TargetMode="External"/><Relationship Id="rId15" Type="http://schemas.openxmlformats.org/officeDocument/2006/relationships/hyperlink" Target="https://sbcamericas.com/tag/the-more-you-know-the-bettor-defining-us-sports-betting-customer-personas/" TargetMode="External"/><Relationship Id="rId16" Type="http://schemas.openxmlformats.org/officeDocument/2006/relationships/hyperlink" Target="http://www.indiangaming.org/info/alerts/Spectrum-Internet-Paper.pdf" TargetMode="External"/><Relationship Id="rId17" Type="http://schemas.openxmlformats.org/officeDocument/2006/relationships/hyperlink" Target="http://www.indian.senate.gov/hearing/oversight-hearing-regulation-tribal-gaming-brick-mortar-internet" TargetMode="External"/><Relationship Id="rId18" Type="http://schemas.openxmlformats.org/officeDocument/2006/relationships/hyperlink" Target="http://www.masslottery.com/lib/downloads/leadership/pdfs/SpectrumGamingGroupFinalReport12-4-12Ammended.pdf" TargetMode="External"/><Relationship Id="rId19" Type="http://schemas.openxmlformats.org/officeDocument/2006/relationships/hyperlink" Target="https://ideagrowth.org/wp-content/uploads/iDEA-Economic-Impact-of-NJ-iGaming_FULL-REPORT_2019.pdf" TargetMode="External"/><Relationship Id="rId20" Type="http://schemas.openxmlformats.org/officeDocument/2006/relationships/hyperlink" Target="https://ideagrowth.org/wp-content/uploads/iDEA_Comprehensive-Analysis-of-NERA-Study_March-2024.pdf" TargetMode="External"/><Relationship Id="rId21" Type="http://schemas.openxmlformats.org/officeDocument/2006/relationships/hyperlink" Target="http://www.intervistas.com/downloads/presentations/Economic_Impacts_of_Aviation_Catalytic_Impacts_MTR_20Sep2010.pdf" TargetMode="External"/><Relationship Id="rId22" Type="http://schemas.openxmlformats.org/officeDocument/2006/relationships/hyperlink" Target="https://www.tandfonline.com/doi/abs/10.1080/14459795.2015.1042002" TargetMode="External"/><Relationship Id="rId23" Type="http://schemas.openxmlformats.org/officeDocument/2006/relationships/image" Target="media/image2.png"/><Relationship Id="rId24" Type="http://schemas.openxmlformats.org/officeDocument/2006/relationships/image" Target="media/image3.jpg"/><Relationship Id="rId25" Type="http://schemas.openxmlformats.org/officeDocument/2006/relationships/image" Target="media/image4.jpg"/><Relationship Id="rId26"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Online Sports Betting in the State of Wisconsin — Data Analysis</dc:title>
  <dc:subject>Proposal to the Wisconsin Tribal Nations Advisory Working Group</dc:subject>
  <dc:creator>Victor-Strategies</dc:creator>
  <cp:keywords/>
  <dc:description>DRAFT — Confidential. Prepared for the Wisconsin Tribal Nations Advisory Working Group.</dc:description>
  <cp:lastModifiedBy/>
  <cp:revision>1</cp:revision>
  <dcterms:created xsi:type="dcterms:W3CDTF">2013-12-23T23:15:00Z</dcterms:created>
  <dcterms:modified xsi:type="dcterms:W3CDTF">2013-12-23T23:15:00Z</dcterms:modified>
  <cp:category>Proposal</cp:category>
</cp:coreProperties>
</file>