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3u793cbkcvcz" w:id="0"/>
      <w:bookmarkEnd w:id="0"/>
      <w:r w:rsidDel="00000000" w:rsidR="00000000" w:rsidRPr="00000000">
        <w:rPr>
          <w:b w:val="1"/>
          <w:bCs w:val="1"/>
          <w:sz w:val="40"/>
          <w:szCs w:val="40"/>
        </w:rPr>
        <w:drawing>
          <wp:inline distB="0" distT="0" distL="0" distR="0">
            <wp:extent cx="3679190" cy="2808605"/>
            <wp:effectExtent b="0" l="0" r="0" t="0"/>
            <wp:docPr descr="phuri" id="10" name="image2.png"/>
            <a:graphic>
              <a:graphicData uri="http://schemas.openxmlformats.org/drawingml/2006/picture">
                <pic:pic>
                  <pic:nvPicPr>
                    <pic:cNvPr descr="phuri" id="0" name="image2.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b w:val="1"/>
          <w:bCs w:val="1"/>
          <w:sz w:val="28"/>
          <w:szCs w:val="28"/>
        </w:rPr>
      </w:pPr>
      <w:r w:rsidDel="00000000" w:rsidR="00000000" w:rsidRPr="00000000">
        <w:rPr>
          <w:b w:val="1"/>
          <w:bCs w:val="1"/>
          <w:sz w:val="28"/>
          <w:szCs w:val="28"/>
          <w:rtl w:val="0"/>
        </w:rPr>
        <w:br w:type="textWrapping"/>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memo</w:t>
            </w:r>
          </w:p>
          <w:p w:rsidR="00000000" w:rsidDel="00000000" w:rsidP="00000000" w:rsidRDefault="00000000" w:rsidRPr="00000000" w14:paraId="00000006">
            <w:pPr>
              <w:spacing w:after="0" w:line="360" w:lineRule="auto"/>
              <w:jc w:val="center"/>
              <w:rPr>
                <w:b w:val="1"/>
                <w:bCs w:val="1"/>
                <w:color w:val="ffffff"/>
                <w:sz w:val="28"/>
                <w:szCs w:val="28"/>
              </w:rPr>
            </w:pPr>
            <w:r w:rsidDel="00000000" w:rsidR="00000000" w:rsidRPr="00000000">
              <w:rPr>
                <w:b w:val="1"/>
                <w:bCs w:val="1"/>
                <w:color w:val="ffffff"/>
                <w:sz w:val="28"/>
                <w:szCs w:val="28"/>
                <w:rtl w:val="0"/>
              </w:rPr>
              <w:t xml:space="preserve">SAQA: 14915</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b w:val="1"/>
                <w:bCs w:val="1"/>
                <w:color w:val="ffffff"/>
                <w:sz w:val="28"/>
                <w:szCs w:val="28"/>
                <w:rtl w:val="0"/>
              </w:rPr>
              <w:t xml:space="preserve">DESIGN A COMPUTER PROGRAM ACCORDING TO GIVEN SPECIFICATIONS</w:t>
            </w:r>
            <w:r w:rsidDel="00000000" w:rsidR="00000000" w:rsidRPr="00000000">
              <w:rPr>
                <w:rtl w:val="0"/>
              </w:rPr>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8">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4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5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7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8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A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8">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A">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D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E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F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1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B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C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F">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C">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B">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Award credits to the NQF to learners who are able to start and run their businesses.</w:t>
      </w:r>
    </w:p>
    <w:p w:rsidR="00000000" w:rsidDel="00000000" w:rsidP="00000000" w:rsidRDefault="00000000" w:rsidRPr="00000000" w14:paraId="0000022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Demonstrate knowledge of communication and numeracy at Abet Level 3</w:t>
      </w:r>
    </w:p>
    <w:p w:rsidR="00000000" w:rsidDel="00000000" w:rsidP="00000000" w:rsidRDefault="00000000" w:rsidRPr="00000000" w14:paraId="0000022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and/or/verbal questioning</w:t>
      </w:r>
    </w:p>
    <w:p w:rsidR="00000000" w:rsidDel="00000000" w:rsidP="00000000" w:rsidRDefault="00000000" w:rsidRPr="00000000" w14:paraId="000002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Product sample and on site assessment</w:t>
      </w:r>
    </w:p>
    <w:p w:rsidR="00000000" w:rsidDel="00000000" w:rsidP="00000000" w:rsidRDefault="00000000" w:rsidRPr="00000000" w14:paraId="000002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1">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2">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3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9">
      <w:pPr>
        <w:spacing w:after="0" w:line="360" w:lineRule="auto"/>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3A">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4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4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Plan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Preparation Checklist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Policy (including Appeals)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Evidence Matrix</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Instruments</w:t>
      </w:r>
    </w:p>
    <w:p w:rsidR="00000000" w:rsidDel="00000000" w:rsidP="00000000" w:rsidRDefault="00000000" w:rsidRPr="00000000" w14:paraId="0000025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Assessor Guide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workbook</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Summative assessment pack</w:t>
      </w:r>
    </w:p>
    <w:p w:rsidR="00000000" w:rsidDel="00000000" w:rsidP="00000000" w:rsidRDefault="00000000" w:rsidRPr="00000000" w14:paraId="0000025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Comments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Feedback Report</w:t>
      </w:r>
    </w:p>
    <w:p w:rsidR="00000000" w:rsidDel="00000000" w:rsidP="00000000" w:rsidRDefault="00000000" w:rsidRPr="00000000" w14:paraId="0000025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5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6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62">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4">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7">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4">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8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8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8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6">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B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B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9">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D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F">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 following issues.</w:t>
            </w:r>
          </w:p>
          <w:p w:rsidR="00000000" w:rsidDel="00000000" w:rsidP="00000000" w:rsidRDefault="00000000" w:rsidRPr="00000000" w14:paraId="000003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 applicable.</w:t>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1">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C">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3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B">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8">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F">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0">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2">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outline the drawing of a decision tree for a given simple problem</w:t>
            </w:r>
          </w:p>
        </w:tc>
        <w:tc>
          <w:tcPr>
            <w:vAlign w:val="center"/>
          </w:tcPr>
          <w:p w:rsidR="00000000" w:rsidDel="00000000" w:rsidP="00000000" w:rsidRDefault="00000000" w:rsidRPr="00000000" w14:paraId="0000035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A decision tree is a kind of flowchart</w:t>
      </w:r>
      <w:r w:rsidDel="00000000" w:rsidR="00000000" w:rsidRPr="00000000">
        <w:rPr>
          <w:rFonts w:ascii="Century Gothic" w:cs="Century Gothic" w:eastAsia="Century Gothic" w:hAnsi="Century Gothic"/>
          <w:color w:val="ff0000"/>
          <w:rtl w:val="0"/>
        </w:rPr>
        <w:t xml:space="preserve"> -- a graphical representation of the process for making a decision or a series of decisions. Businesses use them to determine company policy; sometimes simply for choosing what policy is, other times as a published tool for their employees. Individuals can use decision trees to help them make difficult decisions by reducing them to a series of simpler, or less emotionally laden, choices. Regardless of the context or type of decision, the structure of a decision tree remains the same. Or you can say A decision tree is a decision support tool that uses a tree-like graph or model of decisions and their possible consequences, including chance event outcomes, resource costs, and utility. It is one way to display an algorithm. </w:t>
      </w:r>
      <w:r w:rsidDel="00000000" w:rsidR="00000000" w:rsidRPr="00000000">
        <w:rPr>
          <w:rFonts w:ascii="Century Gothic" w:cs="Century Gothic" w:eastAsia="Century Gothic" w:hAnsi="Century Gothic"/>
          <w:b w:val="1"/>
          <w:bCs w:val="1"/>
          <w:color w:val="ff0000"/>
          <w:rtl w:val="0"/>
        </w:rPr>
        <w:t xml:space="preserve">Brainstorm each of the variables in the decision you want the decision tree to help you make</w:t>
      </w:r>
      <w:r w:rsidDel="00000000" w:rsidR="00000000" w:rsidRPr="00000000">
        <w:rPr>
          <w:rFonts w:ascii="Century Gothic" w:cs="Century Gothic" w:eastAsia="Century Gothic" w:hAnsi="Century Gothic"/>
          <w:color w:val="ff0000"/>
          <w:rtl w:val="0"/>
        </w:rPr>
        <w:t xml:space="preserve">. Write them down on a sheet of paper, or in the margin of your main sheet.</w:t>
      </w:r>
    </w:p>
    <w:p w:rsidR="00000000" w:rsidDel="00000000" w:rsidP="00000000" w:rsidRDefault="00000000" w:rsidRPr="00000000" w14:paraId="0000035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4067175" cy="2819400"/>
            <wp:effectExtent b="0" l="0" r="0" t="0"/>
            <wp:docPr descr="http://pad2.whstatic.com/images/thumb/c/c7/Create-a-Decision-Tree-Step-1.jpg/550px-Create-a-Decision-Tree-Step-1.jpg" id="12" name="image1.jpg"/>
            <a:graphic>
              <a:graphicData uri="http://schemas.openxmlformats.org/drawingml/2006/picture">
                <pic:pic>
                  <pic:nvPicPr>
                    <pic:cNvPr descr="http://pad2.whstatic.com/images/thumb/c/c7/Create-a-Decision-Tree-Step-1.jpg/550px-Create-a-Decision-Tree-Step-1.jpg" id="0" name="image1.jpg"/>
                    <pic:cNvPicPr preferRelativeResize="0"/>
                  </pic:nvPicPr>
                  <pic:blipFill>
                    <a:blip r:embed="rId10"/>
                    <a:srcRect b="0" l="0" r="0" t="0"/>
                    <a:stretch>
                      <a:fillRect/>
                    </a:stretch>
                  </pic:blipFill>
                  <pic:spPr>
                    <a:xfrm>
                      <a:off x="0" y="0"/>
                      <a:ext cx="40671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5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Prioritize the variables you've listed and write them down in order</w:t>
      </w:r>
      <w:r w:rsidDel="00000000" w:rsidR="00000000" w:rsidRPr="00000000">
        <w:rPr>
          <w:rFonts w:ascii="Century Gothic" w:cs="Century Gothic" w:eastAsia="Century Gothic" w:hAnsi="Century Gothic"/>
          <w:color w:val="ff0000"/>
          <w:rtl w:val="0"/>
        </w:rPr>
        <w:t xml:space="preserve">. Depending on the kind of decision you're making, you can prioritize the variables chronologically, by order of importance, or both.</w:t>
      </w:r>
    </w:p>
    <w:p w:rsidR="00000000" w:rsidDel="00000000" w:rsidP="00000000" w:rsidRDefault="00000000" w:rsidRPr="00000000" w14:paraId="0000035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4400550" cy="1857375"/>
            <wp:effectExtent b="0" l="0" r="0" t="0"/>
            <wp:docPr descr="http://pad2.whstatic.com/images/thumb/e/e5/Create-a-Decision-Tree-Step-2.jpg/550px-Create-a-Decision-Tree-Step-2.jpg" id="11" name="image3.jpg"/>
            <a:graphic>
              <a:graphicData uri="http://schemas.openxmlformats.org/drawingml/2006/picture">
                <pic:pic>
                  <pic:nvPicPr>
                    <pic:cNvPr descr="http://pad2.whstatic.com/images/thumb/e/e5/Create-a-Decision-Tree-Step-2.jpg/550px-Create-a-Decision-Tree-Step-2.jpg" id="0" name="image3.jpg"/>
                    <pic:cNvPicPr preferRelativeResize="0"/>
                  </pic:nvPicPr>
                  <pic:blipFill>
                    <a:blip r:embed="rId11"/>
                    <a:srcRect b="0" l="0" r="0" t="0"/>
                    <a:stretch>
                      <a:fillRect/>
                    </a:stretch>
                  </pic:blipFill>
                  <pic:spPr>
                    <a:xfrm>
                      <a:off x="0" y="0"/>
                      <a:ext cx="44005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For a simple work vehicle, you might prioritize your car decision trees as price, fuel efficiency, model, style and options. If you were buying the car as a gift for your spouse, the priorities might go style, model, options, price, and fuel efficiency.</w:t>
      </w:r>
    </w:p>
    <w:p w:rsidR="00000000" w:rsidDel="00000000" w:rsidP="00000000" w:rsidRDefault="00000000" w:rsidRPr="00000000" w14:paraId="0000035D">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the guidelines for constructing a decision table</w:t>
            </w:r>
          </w:p>
        </w:tc>
        <w:tc>
          <w:tcPr>
            <w:vAlign w:val="cente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Steps to Develop a Decision Table</w:t>
      </w:r>
      <w:r w:rsidDel="00000000" w:rsidR="00000000" w:rsidRPr="00000000">
        <w:rPr>
          <w:rtl w:val="0"/>
        </w:rPr>
      </w:r>
    </w:p>
    <w:p w:rsidR="00000000" w:rsidDel="00000000" w:rsidP="00000000" w:rsidRDefault="00000000" w:rsidRPr="00000000" w14:paraId="0000036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 Construct a Decision Table:</w:t>
      </w:r>
    </w:p>
    <w:p w:rsidR="00000000" w:rsidDel="00000000" w:rsidP="00000000" w:rsidRDefault="00000000" w:rsidRPr="00000000" w14:paraId="0000036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         Draw boxes for the top and bottom left quadrants.</w:t>
      </w:r>
    </w:p>
    <w:p w:rsidR="00000000" w:rsidDel="00000000" w:rsidP="00000000" w:rsidRDefault="00000000" w:rsidRPr="00000000" w14:paraId="0000036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List the conditions in the top, left quadrant. When possible, phrase the conditions as questions that can be answered with a Y for yes and an N for no.  This type of Decision Table is known as a limited entry table.  When a Decision Table requires more than two values for a condition, it is known as an extended entry table.</w:t>
      </w:r>
    </w:p>
    <w:p w:rsidR="00000000" w:rsidDel="00000000" w:rsidP="00000000" w:rsidRDefault="00000000" w:rsidRPr="00000000" w14:paraId="0000036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List the possible actions in the bottom, left quadrant.</w:t>
      </w:r>
    </w:p>
    <w:p w:rsidR="00000000" w:rsidDel="00000000" w:rsidP="00000000" w:rsidRDefault="00000000" w:rsidRPr="00000000" w14:paraId="0000036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Count the possible values for each condition and multiply these together to determine how many unique combinations of conditions are present.  Draw one column in the top and bottom right quadrants for each combination.</w:t>
      </w:r>
    </w:p>
    <w:p w:rsidR="00000000" w:rsidDel="00000000" w:rsidP="00000000" w:rsidRDefault="00000000" w:rsidRPr="00000000" w14:paraId="0000036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For example, if there are two conditions and the first condition has two possible values while the second has three possible values, draw six (2 * 3) columns.</w:t>
      </w:r>
    </w:p>
    <w:p w:rsidR="00000000" w:rsidDel="00000000" w:rsidP="00000000" w:rsidRDefault="00000000" w:rsidRPr="00000000" w14:paraId="0000036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Enter all possible combinations of values in the columns in the top, right quadrant of the table.</w:t>
      </w:r>
    </w:p>
    <w:p w:rsidR="00000000" w:rsidDel="00000000" w:rsidP="00000000" w:rsidRDefault="00000000" w:rsidRPr="00000000" w14:paraId="0000036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         For each column (each unique combination of conditions), mark an X in the bottom, right quadrant in the appropriate action row.  The X marks the intersection between the required action and each unique combination of condition values.</w:t>
      </w:r>
    </w:p>
    <w:p w:rsidR="00000000" w:rsidDel="00000000" w:rsidP="00000000" w:rsidRDefault="00000000" w:rsidRPr="00000000" w14:paraId="0000036D">
      <w:pPr>
        <w:spacing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F">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Top-down and bottom-up procedural computer program as a way to solve a given problem.</w:t>
            </w:r>
          </w:p>
        </w:tc>
        <w:tc>
          <w:tcPr>
            <w:vAlign w:val="center"/>
          </w:tcPr>
          <w:p w:rsidR="00000000" w:rsidDel="00000000" w:rsidP="00000000" w:rsidRDefault="00000000" w:rsidRPr="00000000" w14:paraId="0000037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Top-down</w:t>
      </w:r>
      <w:r w:rsidDel="00000000" w:rsidR="00000000" w:rsidRPr="00000000">
        <w:rPr>
          <w:rFonts w:ascii="Century Gothic" w:cs="Century Gothic" w:eastAsia="Century Gothic" w:hAnsi="Century Gothic"/>
          <w:color w:val="ff0000"/>
          <w:rtl w:val="0"/>
        </w:rPr>
        <w:t xml:space="preserve"> and </w:t>
      </w:r>
      <w:r w:rsidDel="00000000" w:rsidR="00000000" w:rsidRPr="00000000">
        <w:rPr>
          <w:rFonts w:ascii="Century Gothic" w:cs="Century Gothic" w:eastAsia="Century Gothic" w:hAnsi="Century Gothic"/>
          <w:b w:val="1"/>
          <w:bCs w:val="1"/>
          <w:color w:val="ff0000"/>
          <w:rtl w:val="0"/>
        </w:rPr>
        <w:t xml:space="preserve">bottom-up</w:t>
      </w:r>
      <w:r w:rsidDel="00000000" w:rsidR="00000000" w:rsidRPr="00000000">
        <w:rPr>
          <w:rFonts w:ascii="Century Gothic" w:cs="Century Gothic" w:eastAsia="Century Gothic" w:hAnsi="Century Gothic"/>
          <w:color w:val="ff0000"/>
          <w:rtl w:val="0"/>
        </w:rPr>
        <w:t xml:space="preserve"> are both strategies of information processing and knowledge ordering, used in a variety of fields including software, humanistic and scientific theories ( systemic), and management and organization. In practice, they can be seen as a style of thinking and teaching.</w:t>
      </w:r>
    </w:p>
    <w:p w:rsidR="00000000" w:rsidDel="00000000" w:rsidP="00000000" w:rsidRDefault="00000000" w:rsidRPr="00000000" w14:paraId="0000037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w:t>
      </w:r>
      <w:r w:rsidDel="00000000" w:rsidR="00000000" w:rsidRPr="00000000">
        <w:rPr>
          <w:rFonts w:ascii="Century Gothic" w:cs="Century Gothic" w:eastAsia="Century Gothic" w:hAnsi="Century Gothic"/>
          <w:b w:val="1"/>
          <w:bCs w:val="1"/>
          <w:color w:val="ff0000"/>
          <w:rtl w:val="0"/>
        </w:rPr>
        <w:t xml:space="preserve">top-down</w:t>
      </w:r>
      <w:r w:rsidDel="00000000" w:rsidR="00000000" w:rsidRPr="00000000">
        <w:rPr>
          <w:rFonts w:ascii="Century Gothic" w:cs="Century Gothic" w:eastAsia="Century Gothic" w:hAnsi="Century Gothic"/>
          <w:color w:val="ff0000"/>
          <w:rtl w:val="0"/>
        </w:rPr>
        <w:t xml:space="preserve"> approach (also known as stepwise design or deductive reasoning and in many cases used as a synonym of </w:t>
      </w:r>
      <w:r w:rsidDel="00000000" w:rsidR="00000000" w:rsidRPr="00000000">
        <w:rPr>
          <w:rFonts w:ascii="Century Gothic" w:cs="Century Gothic" w:eastAsia="Century Gothic" w:hAnsi="Century Gothic"/>
          <w:i w:val="1"/>
          <w:iCs w:val="1"/>
          <w:color w:val="ff0000"/>
          <w:rtl w:val="0"/>
        </w:rPr>
        <w:t xml:space="preserve">analysis</w:t>
      </w:r>
      <w:r w:rsidDel="00000000" w:rsidR="00000000" w:rsidRPr="00000000">
        <w:rPr>
          <w:rFonts w:ascii="Century Gothic" w:cs="Century Gothic" w:eastAsia="Century Gothic" w:hAnsi="Century Gothic"/>
          <w:color w:val="ff0000"/>
          <w:rtl w:val="0"/>
        </w:rPr>
        <w:t xml:space="preserve"> or </w:t>
      </w:r>
      <w:r w:rsidDel="00000000" w:rsidR="00000000" w:rsidRPr="00000000">
        <w:rPr>
          <w:rFonts w:ascii="Century Gothic" w:cs="Century Gothic" w:eastAsia="Century Gothic" w:hAnsi="Century Gothic"/>
          <w:i w:val="1"/>
          <w:iCs w:val="1"/>
          <w:color w:val="ff0000"/>
          <w:rtl w:val="0"/>
        </w:rPr>
        <w:t xml:space="preserve">decomposition</w:t>
      </w:r>
      <w:r w:rsidDel="00000000" w:rsidR="00000000" w:rsidRPr="00000000">
        <w:rPr>
          <w:rFonts w:ascii="Century Gothic" w:cs="Century Gothic" w:eastAsia="Century Gothic" w:hAnsi="Century Gothic"/>
          <w:color w:val="ff0000"/>
          <w:rtl w:val="0"/>
        </w:rPr>
        <w:t xml:space="preserve">) is essentially the breaking down of a system to gain insight into its compositional sub-systems. In a top-down approach an overview of the system is formulated, specifying but not detailing any first-level subsystems. Each subsystem is then refined in yet greater detail, sometimes in many additional subsystem levels, until the entire specification is reduced to base elements. A top-down model is often specified with the assistance of "black boxes", these make it easier to manipulate. However, black boxes may fail to elucidate elementary mechanisms or be detailed enough to realistically validate the model. Top down approach starts with the big picture. It breaks down from there into smaller segments.</w:t>
      </w:r>
      <w:r w:rsidDel="00000000" w:rsidR="00000000" w:rsidRPr="00000000">
        <w:rPr>
          <w:rFonts w:ascii="Century Gothic" w:cs="Century Gothic" w:eastAsia="Century Gothic" w:hAnsi="Century Gothic"/>
          <w:color w:val="ff0000"/>
          <w:vertAlign w:val="superscript"/>
          <w:rtl w:val="0"/>
        </w:rPr>
        <w:t xml:space="preserve">[</w:t>
      </w:r>
      <w:r w:rsidDel="00000000" w:rsidR="00000000" w:rsidRPr="00000000">
        <w:rPr>
          <w:rtl w:val="0"/>
        </w:rPr>
      </w:r>
    </w:p>
    <w:p w:rsidR="00000000" w:rsidDel="00000000" w:rsidP="00000000" w:rsidRDefault="00000000" w:rsidRPr="00000000" w14:paraId="0000037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w:t>
      </w:r>
      <w:r w:rsidDel="00000000" w:rsidR="00000000" w:rsidRPr="00000000">
        <w:rPr>
          <w:rFonts w:ascii="Century Gothic" w:cs="Century Gothic" w:eastAsia="Century Gothic" w:hAnsi="Century Gothic"/>
          <w:b w:val="1"/>
          <w:bCs w:val="1"/>
          <w:color w:val="ff0000"/>
          <w:rtl w:val="0"/>
        </w:rPr>
        <w:t xml:space="preserve">bottom-up</w:t>
      </w:r>
      <w:r w:rsidDel="00000000" w:rsidR="00000000" w:rsidRPr="00000000">
        <w:rPr>
          <w:rFonts w:ascii="Century Gothic" w:cs="Century Gothic" w:eastAsia="Century Gothic" w:hAnsi="Century Gothic"/>
          <w:color w:val="ff0000"/>
          <w:rtl w:val="0"/>
        </w:rPr>
        <w:t xml:space="preserve"> approach (also known as inductive reasoning, and in many cases used as a synonym of </w:t>
      </w:r>
      <w:r w:rsidDel="00000000" w:rsidR="00000000" w:rsidRPr="00000000">
        <w:rPr>
          <w:rFonts w:ascii="Century Gothic" w:cs="Century Gothic" w:eastAsia="Century Gothic" w:hAnsi="Century Gothic"/>
          <w:i w:val="1"/>
          <w:iCs w:val="1"/>
          <w:color w:val="ff0000"/>
          <w:rtl w:val="0"/>
        </w:rPr>
        <w:t xml:space="preserve">synthesis</w:t>
      </w:r>
      <w:r w:rsidDel="00000000" w:rsidR="00000000" w:rsidRPr="00000000">
        <w:rPr>
          <w:rFonts w:ascii="Century Gothic" w:cs="Century Gothic" w:eastAsia="Century Gothic" w:hAnsi="Century Gothic"/>
          <w:color w:val="ff0000"/>
          <w:rtl w:val="0"/>
        </w:rPr>
        <w:t xml:space="preserve">) is the piecing together of systems to give rise to grander systems, thus making the original systems sub-systems of the emergent system. Bottom-up processing is a type of information processing based on incoming data from the environment to form a perception. Information enters the eyes in one direction (input), and is then turned into an image by the brain that can be interpreted and recognized as a perception (output). In a bottom-up approach the individual base elements of the system are first specified in great detail. These elements are then linked together to form larger subsystems, which then in turn are linked, sometimes in many levels, until a complete top-level system is formed. This strategy often resembles a "seed" model, whereby the beginnings are small but eventually grow in complexity and completeness. However, "organic strategies" may result in a tangle of elements and subsystems, developed in isolation and subject to local optimization as opposed to meeting a global purpose.</w:t>
      </w:r>
    </w:p>
    <w:p w:rsidR="00000000" w:rsidDel="00000000" w:rsidP="00000000" w:rsidRDefault="00000000" w:rsidRPr="00000000" w14:paraId="00000377">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9">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7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and explain the operation use of the syntax checker of the tools to check for syntax errors. </w:t>
            </w:r>
          </w:p>
        </w:tc>
        <w:tc>
          <w:tcPr>
            <w:vAlign w:val="center"/>
          </w:tcPr>
          <w:p w:rsidR="00000000" w:rsidDel="00000000" w:rsidP="00000000" w:rsidRDefault="00000000" w:rsidRPr="00000000" w14:paraId="0000037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color w:val="ff0000"/>
          <w:rtl w:val="0"/>
        </w:rPr>
        <w:t xml:space="preserve">In computer science, </w:t>
      </w:r>
      <w:r w:rsidDel="00000000" w:rsidR="00000000" w:rsidRPr="00000000">
        <w:rPr>
          <w:rFonts w:ascii="Century Gothic" w:cs="Century Gothic" w:eastAsia="Century Gothic" w:hAnsi="Century Gothic"/>
          <w:b w:val="1"/>
          <w:bCs w:val="1"/>
          <w:color w:val="ff0000"/>
          <w:rtl w:val="0"/>
        </w:rPr>
        <w:t xml:space="preserve">a syntax error</w:t>
      </w:r>
      <w:r w:rsidDel="00000000" w:rsidR="00000000" w:rsidRPr="00000000">
        <w:rPr>
          <w:rFonts w:ascii="Century Gothic" w:cs="Century Gothic" w:eastAsia="Century Gothic" w:hAnsi="Century Gothic"/>
          <w:color w:val="ff0000"/>
          <w:rtl w:val="0"/>
        </w:rPr>
        <w:t xml:space="preserve"> refers to an error in the syntax of a sequence of characters or tokens that is intended to be written in a particular programming language. For compiled languages syntax errors occur strictly at compile-time. A program will not compile until all syntax errors are corrected. For interpreted languages, however, not all syntax errors can be reliably detected until run-time, and it is not necessarily simple to differentiate a syntax error from a semantic error; many don't try at all. In 8-bit home computers that used BASIC interpreter as their primary user interface, the SYNTAX ERROR error message became somewhat notorious, as this was the response to any command or user input the interpreter couldn't parse. A syntax error may also occur when an invalid equation is entered into a calculator. This can be caused, for instance, by opening brackets without closing them, or less commonly, entering several decimal points in one number.</w:t>
      </w:r>
    </w:p>
    <w:p w:rsidR="00000000" w:rsidDel="00000000" w:rsidP="00000000" w:rsidRDefault="00000000" w:rsidRPr="00000000" w14:paraId="0000037F">
      <w:pPr>
        <w:spacing w:after="0"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8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81">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8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8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outline the reasons for choosing a Modular Design</w:t>
            </w:r>
          </w:p>
        </w:tc>
        <w:tc>
          <w:tcPr>
            <w:vAlign w:val="center"/>
          </w:tcPr>
          <w:p w:rsidR="00000000" w:rsidDel="00000000" w:rsidP="00000000" w:rsidRDefault="00000000" w:rsidRPr="00000000" w14:paraId="0000038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8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following scenarios describe why you might want to choose a modular design for your application:</w:t>
      </w:r>
    </w:p>
    <w:p w:rsidR="00000000" w:rsidDel="00000000" w:rsidP="00000000" w:rsidRDefault="00000000" w:rsidRPr="00000000" w14:paraId="00000388">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Simplified modules</w:t>
      </w:r>
      <w:r w:rsidDel="00000000" w:rsidR="00000000" w:rsidRPr="00000000">
        <w:rPr>
          <w:rFonts w:ascii="Century Gothic" w:cs="Century Gothic" w:eastAsia="Century Gothic" w:hAnsi="Century Gothic"/>
          <w:color w:val="ff0000"/>
          <w:rtl w:val="0"/>
        </w:rPr>
        <w:t xml:space="preserve">. Properly defined modules have a high internal cohesion and loose coupling between modules. The coupling between the modules should be through well-defined interfaces.</w:t>
      </w:r>
    </w:p>
    <w:p w:rsidR="00000000" w:rsidDel="00000000" w:rsidP="00000000" w:rsidRDefault="00000000" w:rsidRPr="00000000" w14:paraId="00000389">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Developing and/or deploying modules independently. </w:t>
      </w:r>
      <w:r w:rsidDel="00000000" w:rsidR="00000000" w:rsidRPr="00000000">
        <w:rPr>
          <w:rFonts w:ascii="Century Gothic" w:cs="Century Gothic" w:eastAsia="Century Gothic" w:hAnsi="Century Gothic"/>
          <w:color w:val="ff0000"/>
          <w:rtl w:val="0"/>
        </w:rPr>
        <w:t xml:space="preserve">Modules can be developed, tested, and/or deployed on independent schedules when modules are developed in a loosely coupled way. By doing this, you can do the following:</w:t>
      </w:r>
    </w:p>
    <w:p w:rsidR="00000000" w:rsidDel="00000000" w:rsidP="00000000" w:rsidRDefault="00000000" w:rsidRPr="00000000" w14:paraId="0000038A">
      <w:pPr>
        <w:numPr>
          <w:ilvl w:val="1"/>
          <w:numId w:val="2"/>
        </w:numPr>
        <w:spacing w:after="0" w:line="360" w:lineRule="auto"/>
        <w:ind w:left="1080" w:hanging="360"/>
        <w:rPr>
          <w:color w:val="ff0000"/>
        </w:rPr>
      </w:pPr>
      <w:r w:rsidDel="00000000" w:rsidR="00000000" w:rsidRPr="00000000">
        <w:rPr>
          <w:rFonts w:ascii="Century Gothic" w:cs="Century Gothic" w:eastAsia="Century Gothic" w:hAnsi="Century Gothic"/>
          <w:color w:val="ff0000"/>
          <w:rtl w:val="0"/>
        </w:rPr>
        <w:t xml:space="preserve">You can independently version modules.</w:t>
      </w:r>
    </w:p>
    <w:p w:rsidR="00000000" w:rsidDel="00000000" w:rsidP="00000000" w:rsidRDefault="00000000" w:rsidRPr="00000000" w14:paraId="0000038B">
      <w:pPr>
        <w:numPr>
          <w:ilvl w:val="1"/>
          <w:numId w:val="2"/>
        </w:numPr>
        <w:spacing w:after="0" w:line="360" w:lineRule="auto"/>
        <w:ind w:left="1080" w:hanging="360"/>
        <w:rPr>
          <w:color w:val="ff0000"/>
        </w:rPr>
      </w:pPr>
      <w:r w:rsidDel="00000000" w:rsidR="00000000" w:rsidRPr="00000000">
        <w:rPr>
          <w:rFonts w:ascii="Century Gothic" w:cs="Century Gothic" w:eastAsia="Century Gothic" w:hAnsi="Century Gothic"/>
          <w:color w:val="ff0000"/>
          <w:rtl w:val="0"/>
        </w:rPr>
        <w:t xml:space="preserve">You can develop and test modules in isolation.</w:t>
      </w:r>
    </w:p>
    <w:p w:rsidR="00000000" w:rsidDel="00000000" w:rsidP="00000000" w:rsidRDefault="00000000" w:rsidRPr="00000000" w14:paraId="0000038C">
      <w:pPr>
        <w:numPr>
          <w:ilvl w:val="1"/>
          <w:numId w:val="2"/>
        </w:numPr>
        <w:spacing w:after="0" w:line="360" w:lineRule="auto"/>
        <w:ind w:left="1080" w:hanging="360"/>
        <w:rPr>
          <w:color w:val="ff0000"/>
        </w:rPr>
      </w:pPr>
      <w:r w:rsidDel="00000000" w:rsidR="00000000" w:rsidRPr="00000000">
        <w:rPr>
          <w:rFonts w:ascii="Century Gothic" w:cs="Century Gothic" w:eastAsia="Century Gothic" w:hAnsi="Century Gothic"/>
          <w:color w:val="ff0000"/>
          <w:rtl w:val="0"/>
        </w:rPr>
        <w:t xml:space="preserve">You can have modules developed by different teams.</w:t>
      </w:r>
    </w:p>
    <w:p w:rsidR="00000000" w:rsidDel="00000000" w:rsidP="00000000" w:rsidRDefault="00000000" w:rsidRPr="00000000" w14:paraId="0000038D">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Loading modules from different locations</w:t>
      </w:r>
      <w:r w:rsidDel="00000000" w:rsidR="00000000" w:rsidRPr="00000000">
        <w:rPr>
          <w:rFonts w:ascii="Century Gothic" w:cs="Century Gothic" w:eastAsia="Century Gothic" w:hAnsi="Century Gothic"/>
          <w:color w:val="ff0000"/>
          <w:rtl w:val="0"/>
        </w:rPr>
        <w:t xml:space="preserve">. A Windows Presentation Foundation (WPF) application might retrieve modules from the Web, from the file system and/or from a database. A Silverlight application might load modules from different XAP files. However, most of the time, the modules come from one location; for example, there is a specific folder that contains the modules or they are in the same XAP file.</w:t>
      </w:r>
    </w:p>
    <w:p w:rsidR="00000000" w:rsidDel="00000000" w:rsidP="00000000" w:rsidRDefault="00000000" w:rsidRPr="00000000" w14:paraId="0000038E">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Minimizing download time</w:t>
      </w:r>
      <w:r w:rsidDel="00000000" w:rsidR="00000000" w:rsidRPr="00000000">
        <w:rPr>
          <w:rFonts w:ascii="Century Gothic" w:cs="Century Gothic" w:eastAsia="Century Gothic" w:hAnsi="Century Gothic"/>
          <w:color w:val="ff0000"/>
          <w:rtl w:val="0"/>
        </w:rPr>
        <w:t xml:space="preserve">. When the application is not on the user's local computer, you want to minimize the time required to download the modules. To minimize the download time, only download modules that are required to start-up the application. The rest are loaded and initialized in the background or when they are required.</w:t>
      </w:r>
    </w:p>
    <w:p w:rsidR="00000000" w:rsidDel="00000000" w:rsidP="00000000" w:rsidRDefault="00000000" w:rsidRPr="00000000" w14:paraId="0000038F">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Minimizing application start-up time</w:t>
      </w:r>
      <w:r w:rsidDel="00000000" w:rsidR="00000000" w:rsidRPr="00000000">
        <w:rPr>
          <w:rFonts w:ascii="Century Gothic" w:cs="Century Gothic" w:eastAsia="Century Gothic" w:hAnsi="Century Gothic"/>
          <w:color w:val="ff0000"/>
          <w:rtl w:val="0"/>
        </w:rPr>
        <w:t xml:space="preserve">. To get part of the application running as fast as possible, only load and initialize the module(s) that are required to start the application.</w:t>
      </w:r>
    </w:p>
    <w:p w:rsidR="00000000" w:rsidDel="00000000" w:rsidP="00000000" w:rsidRDefault="00000000" w:rsidRPr="00000000" w14:paraId="00000390">
      <w:pPr>
        <w:numPr>
          <w:ilvl w:val="0"/>
          <w:numId w:val="2"/>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Loading modules based on rules</w:t>
      </w:r>
      <w:r w:rsidDel="00000000" w:rsidR="00000000" w:rsidRPr="00000000">
        <w:rPr>
          <w:rFonts w:ascii="Century Gothic" w:cs="Century Gothic" w:eastAsia="Century Gothic" w:hAnsi="Century Gothic"/>
          <w:color w:val="ff0000"/>
          <w:rtl w:val="0"/>
        </w:rPr>
        <w:t xml:space="preserve">. This allows you to only load modules that are applicable for a specific role. An application might retrieve from a service the list of modules to load.</w:t>
      </w:r>
    </w:p>
    <w:p w:rsidR="00000000" w:rsidDel="00000000" w:rsidP="00000000" w:rsidRDefault="00000000" w:rsidRPr="00000000" w14:paraId="00000391">
      <w:pPr>
        <w:spacing w:after="0" w:line="360" w:lineRule="auto"/>
        <w:rPr>
          <w:rFonts w:ascii="Century Gothic" w:cs="Century Gothic" w:eastAsia="Century Gothic" w:hAnsi="Century Gothic"/>
        </w:rPr>
      </w:pPr>
      <w:r w:rsidDel="00000000" w:rsidR="00000000" w:rsidRPr="00000000">
        <w:rPr>
          <w:rtl w:val="0"/>
        </w:rPr>
      </w:r>
    </w:p>
    <w:tbl>
      <w:tblPr>
        <w:tblStyle w:val="Table24"/>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92">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93">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9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9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9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9E">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A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A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8">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A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D">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A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2">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B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B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B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BA">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B">
      <w:pPr>
        <w:spacing w:line="360" w:lineRule="auto"/>
        <w:rPr>
          <w:rFonts w:ascii="Century Gothic" w:cs="Century Gothic" w:eastAsia="Century Gothic" w:hAnsi="Century Gothic"/>
        </w:rPr>
      </w:pPr>
      <w:r w:rsidDel="00000000" w:rsidR="00000000" w:rsidRPr="00000000">
        <w:rPr>
          <w:rtl w:val="0"/>
        </w:rPr>
      </w:r>
    </w:p>
    <w:sectPr>
      <w:headerReference r:id="rId12" w:type="default"/>
      <w:footerReference r:id="rId13"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