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40"/>
          <w:szCs w:val="40"/>
          <w:u w:val="none"/>
          <w:shd w:fill="auto" w:val="clear"/>
          <w:vertAlign w:val="baseline"/>
        </w:rPr>
        <w:drawing>
          <wp:inline distB="0" distT="0" distL="114300" distR="114300">
            <wp:extent cx="3677285" cy="281432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7285"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14909 </w:t>
              <w:tab/>
            </w:r>
            <w:r w:rsidDel="00000000" w:rsidR="00000000" w:rsidRPr="00000000">
              <w:rPr>
                <w:rtl w:val="0"/>
              </w:rPr>
            </w:r>
          </w:p>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Describe the difference between programming in Object Orientated and Procedural Languages</w:t>
            </w:r>
            <w:r w:rsidDel="00000000" w:rsidR="00000000" w:rsidRPr="00000000">
              <w:rPr>
                <w:rtl w:val="0"/>
              </w:rPr>
            </w:r>
          </w:p>
        </w:tc>
      </w:tr>
    </w:tbl>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3">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4">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6">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9">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Describe the difference between programming in Object Orientated and Procedural Languages</w:t>
            </w: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1">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2">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3">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9">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A">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B">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C">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F">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0">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1">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2">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C">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4">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5">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B">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8">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9">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A">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7E">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C">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8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3">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5">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8">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B">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9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9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1">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3">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4">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5">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8">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9">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A">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A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AE">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AF">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0">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1">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6">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7">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8">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9">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A">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B">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B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BF">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0">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1">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2">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9">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A">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B">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C">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C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CF">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2">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5">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6">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7">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4">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6">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
        <w:gridCol w:w="5615"/>
        <w:gridCol w:w="1113"/>
        <w:gridCol w:w="960"/>
        <w:gridCol w:w="1335"/>
        <w:tblGridChange w:id="0">
          <w:tblGrid>
            <w:gridCol w:w="1222"/>
            <w:gridCol w:w="5615"/>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7">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8">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9">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A">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B">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E">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Describe the difference between programming in Object Orientated and Procedural Languages</w:t>
            </w: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1">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2">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7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rtl w:val="0"/>
        </w:rPr>
      </w:r>
    </w:p>
    <w:p w:rsidR="00000000" w:rsidDel="00000000" w:rsidP="00000000" w:rsidRDefault="00000000" w:rsidRPr="00000000" w14:paraId="0000018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2">
      <w:pPr>
        <w:rPr>
          <w:b w:val="0"/>
          <w:bCs w:val="0"/>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rtl w:val="0"/>
        </w:rPr>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C">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BD">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BE">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BF">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Describe the fundamental differences between procedural and object oriented programming.</w:t>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ESSENTIAL EMBEDDED KNOWLEDGE </w:t>
            </w:r>
            <w:r w:rsidDel="00000000" w:rsidR="00000000" w:rsidRPr="00000000">
              <w:rPr>
                <w:rtl w:val="0"/>
              </w:rPr>
            </w:r>
          </w:p>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tab/>
              <w:t xml:space="preserve">Performance of all elements is to be carried out in accordance with organisation standards and procedures, unless otherwise stated. Organisation standards and procedures may cover: quality assurance, documentation, security, communication, health and safety, and personal behaviour. An example of the standards expected is the standards found in ISO 9000 Certified Organisations. </w:t>
            </w:r>
          </w:p>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Performance of all elements complies with the laws of South Africa, especially with regard to copyright, privacy, health and safety, and consumer rights. </w:t>
            </w:r>
          </w:p>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tab/>
              <w:t xml:space="preserve">All activities must comply with any policies, procedures and requirements of the organisations involved, the ethical codes of relevant professional bodies and any relevant legislative and/ or regulatory requirements. </w:t>
            </w:r>
          </w:p>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t xml:space="preserve">Performance of all elements is to be completed within the normal range of time and cost that would be expected in a professional environment (eg. In a commercial or government organisation). </w:t>
            </w:r>
          </w:p>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tab/>
              <w:t xml:space="preserve">Performance of all elements should be performed with a solid understanding of the use of development tools needed in the areas applicable to the unit standard. Examples of such tools are, but are not limited to CASE tools, programming language editors with syntax checking, program source version control systems. </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w:t>
              <w:tab/>
              <w:t xml:space="preserve">Performance of all elements should make use of International capability models used for Software Development. Examples of such models include (but are not limited to) the ISO SPICE model as well as the CMM model for Software Development.</w:t>
            </w:r>
          </w:p>
        </w:tc>
        <w:tc>
          <w:tcPr>
            <w:vAlign w:val="top"/>
          </w:tcPr>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B">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1FE">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0">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7">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7">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D">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D">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E">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3">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A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1">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B">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C">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1">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C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0">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1">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A">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B">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E">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2">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7">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B">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B">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