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y7asj954zkli"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628"/>
        <w:tblGridChange w:id="0">
          <w:tblGrid>
            <w:gridCol w:w="8628"/>
          </w:tblGrid>
        </w:tblGridChange>
      </w:tblGrid>
      <w:tr>
        <w:trPr>
          <w:cantSplit w:val="0"/>
          <w:tblHeader w:val="0"/>
        </w:trPr>
        <w:tc>
          <w:tcPr>
            <w:shd w:fill="943734" w:val="clear"/>
          </w:tcPr>
          <w:p w:rsidR="00000000" w:rsidDel="00000000" w:rsidP="00000000" w:rsidRDefault="00000000" w:rsidRPr="00000000" w14:paraId="00000003">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28"/>
                <w:szCs w:val="28"/>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ASSESSMENTS MEMORANDA</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10313</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COMPLY WITH SERVICE LEVELS AS SET OUT IN A CONTACT CENTRE OPERATION </w:t>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1"/>
        <w:gridCol w:w="6061"/>
        <w:tblGridChange w:id="0">
          <w:tblGrid>
            <w:gridCol w:w="3181"/>
            <w:gridCol w:w="6061"/>
          </w:tblGrid>
        </w:tblGridChange>
      </w:tblGrid>
      <w:tr>
        <w:trPr>
          <w:cantSplit w:val="0"/>
          <w:trHeight w:val="659" w:hRule="atLeast"/>
          <w:tblHeader w:val="0"/>
        </w:trPr>
        <w:tc>
          <w:tcPr>
            <w:shd w:fill="bfbfbf" w:val="clear"/>
          </w:tcPr>
          <w:p w:rsidR="00000000" w:rsidDel="00000000" w:rsidP="00000000" w:rsidRDefault="00000000" w:rsidRPr="00000000" w14:paraId="000000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0"/>
        <w:gridCol w:w="3081"/>
        <w:gridCol w:w="3081"/>
        <w:tblGridChange w:id="0">
          <w:tblGrid>
            <w:gridCol w:w="3080"/>
            <w:gridCol w:w="3081"/>
            <w:gridCol w:w="3081"/>
          </w:tblGrid>
        </w:tblGridChange>
      </w:tblGrid>
      <w:tr>
        <w:trPr>
          <w:cantSplit w:val="0"/>
          <w:trHeight w:val="434"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rHeight w:val="777" w:hRule="atLeast"/>
          <w:tblHeader w:val="0"/>
        </w:trPr>
        <w:tc>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A">
      <w:pPr>
        <w:jc w:val="center"/>
        <w:rPr>
          <w:b w:val="1"/>
          <w:bCs w:val="1"/>
          <w:sz w:val="28"/>
          <w:szCs w:val="28"/>
        </w:rPr>
      </w:pPr>
      <w:r w:rsidDel="00000000" w:rsidR="00000000" w:rsidRPr="00000000">
        <w:rPr>
          <w:rtl w:val="0"/>
        </w:rPr>
      </w:r>
    </w:p>
    <w:p w:rsidR="00000000" w:rsidDel="00000000" w:rsidP="00000000" w:rsidRDefault="00000000" w:rsidRPr="00000000" w14:paraId="0000002B">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2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5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5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6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B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A">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C">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D">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E">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jc w:val="center"/>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A">
            <w:pPr>
              <w:jc w:val="center"/>
              <w:rPr/>
            </w:pPr>
            <w:r w:rsidDel="00000000" w:rsidR="00000000" w:rsidRPr="00000000">
              <w:rPr/>
              <mc:AlternateContent>
                <mc:Choice Requires="wpg">
                  <w:drawing>
                    <wp:inline distB="0" distT="0" distL="114300" distR="114300">
                      <wp:extent cx="4802505" cy="774700"/>
                      <wp:effectExtent b="0" l="0" r="0" t="0"/>
                      <wp:docPr id="10" name=""/>
                      <a:graphic>
                        <a:graphicData uri="http://schemas.microsoft.com/office/word/2010/wordprocessingShape">
                          <wps:wsp>
                            <wps:cNvSpPr/>
                            <wps:cNvPr id="11" name="Shape 11"/>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1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7">
      <w:pPr>
        <w:spacing w:after="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w:t>
      </w:r>
      <w:r w:rsidDel="00000000" w:rsidR="00000000" w:rsidRPr="00000000">
        <w:rPr>
          <w:rFonts w:ascii="Century Gothic" w:cs="Century Gothic" w:eastAsia="Century Gothic" w:hAnsi="Century Gothic"/>
          <w:b w:val="1"/>
          <w:bCs w:val="1"/>
          <w:sz w:val="32"/>
          <w:szCs w:val="32"/>
          <w:rtl w:val="0"/>
        </w:rPr>
        <w:t xml:space="preserv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 LEVEL 4 </w:t>
      </w:r>
      <w:r w:rsidDel="00000000" w:rsidR="00000000" w:rsidRPr="00000000">
        <w:rPr>
          <w:rFonts w:ascii="Century Gothic" w:cs="Century Gothic" w:eastAsia="Century Gothic" w:hAnsi="Century Gothic"/>
          <w:sz w:val="20"/>
          <w:szCs w:val="20"/>
          <w:rtl w:val="0"/>
        </w:rPr>
        <w:t xml:space="preserve">accredited Training Providers.</w:t>
      </w:r>
    </w:p>
    <w:p w:rsidR="00000000" w:rsidDel="00000000" w:rsidP="00000000" w:rsidRDefault="00000000" w:rsidRPr="00000000" w14:paraId="0000020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0">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1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02.</w:t>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 Planning for the Assessment</w:t>
      </w:r>
    </w:p>
    <w:p w:rsidR="00000000" w:rsidDel="00000000" w:rsidP="00000000" w:rsidRDefault="00000000" w:rsidRPr="00000000" w14:paraId="0000022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Review this assessment guide to:</w:t>
      </w:r>
    </w:p>
    <w:p w:rsidR="00000000" w:rsidDel="00000000" w:rsidP="00000000" w:rsidRDefault="00000000" w:rsidRPr="00000000" w14:paraId="0000022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3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Complete the Assessment</w:t>
      </w:r>
    </w:p>
    <w:p w:rsidR="00000000" w:rsidDel="00000000" w:rsidP="00000000" w:rsidRDefault="00000000" w:rsidRPr="00000000" w14:paraId="0000023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 After the Assessment</w:t>
      </w:r>
    </w:p>
    <w:p w:rsidR="00000000" w:rsidDel="00000000" w:rsidP="00000000" w:rsidRDefault="00000000" w:rsidRPr="00000000" w14:paraId="0000023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the SETA and will then be returned to the learner.</w:t>
      </w:r>
    </w:p>
    <w:p w:rsidR="00000000" w:rsidDel="00000000" w:rsidP="00000000" w:rsidRDefault="00000000" w:rsidRPr="00000000" w14:paraId="0000026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6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the SETA and described by the provider’s Quality Management System will be followed.</w:t>
      </w:r>
    </w:p>
    <w:p w:rsidR="00000000" w:rsidDel="00000000" w:rsidP="00000000" w:rsidRDefault="00000000" w:rsidRPr="00000000" w14:paraId="00000265">
      <w:pPr>
        <w:spacing w:line="360" w:lineRule="auto"/>
        <w:rPr>
          <w:sz w:val="20"/>
          <w:szCs w:val="20"/>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3811904" cy="774700"/>
                      <wp:effectExtent b="0" l="0" r="0" t="0"/>
                      <wp:docPr id="9" name=""/>
                      <a:graphic>
                        <a:graphicData uri="http://schemas.microsoft.com/office/word/2010/wordprocessingShape">
                          <wps:wsp>
                            <wps:cNvSpPr/>
                            <wps:cNvPr id="10" name="Shape 10"/>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4">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B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C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E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0">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21">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F">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1">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7" name=""/>
                <a:graphic>
                  <a:graphicData uri="http://schemas.microsoft.com/office/word/2010/wordprocessingShape">
                    <wps:wsp>
                      <wps:cNvSpPr/>
                      <wps:cNvPr id="8" name="Shape 8"/>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E">
            <w:pPr>
              <w:jc w:val="center"/>
              <w:rPr/>
            </w:pPr>
            <w:r w:rsidDel="00000000" w:rsidR="00000000" w:rsidRPr="00000000">
              <w:rPr/>
              <mc:AlternateContent>
                <mc:Choice Requires="wpg">
                  <w:drawing>
                    <wp:inline distB="0" distT="0" distL="114300" distR="114300">
                      <wp:extent cx="4802505" cy="774700"/>
                      <wp:effectExtent b="0" l="0" r="0" t="0"/>
                      <wp:docPr id="3" name=""/>
                      <a:graphic>
                        <a:graphicData uri="http://schemas.microsoft.com/office/word/2010/wordprocessingShape">
                          <wps:wsp>
                            <wps:cNvSpPr/>
                            <wps:cNvPr id="4" name="Shape 4"/>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2">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3">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4">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5">
      <w:pPr>
        <w:spacing w:line="276" w:lineRule="auto"/>
        <w:jc w:val="left"/>
        <w:rPr>
          <w:rFonts w:ascii="Century Gothic" w:cs="Century Gothic" w:eastAsia="Century Gothic" w:hAnsi="Century Gothic"/>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6">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7">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w:t>
            </w:r>
          </w:p>
          <w:p w:rsidR="00000000" w:rsidDel="00000000" w:rsidP="00000000" w:rsidRDefault="00000000" w:rsidRPr="00000000" w14:paraId="0000034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pack are all summative assessment instruments and are to</w:t>
            </w:r>
          </w:p>
          <w:p w:rsidR="00000000" w:rsidDel="00000000" w:rsidP="00000000" w:rsidRDefault="00000000" w:rsidRPr="00000000" w14:paraId="0000034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be read in conjunction with the formative assessment instruments</w:t>
            </w:r>
          </w:p>
          <w:p w:rsidR="00000000" w:rsidDel="00000000" w:rsidP="00000000" w:rsidRDefault="00000000" w:rsidRPr="00000000" w14:paraId="0000034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Contained in the learner workbook. Both formative</w:t>
            </w:r>
          </w:p>
          <w:p w:rsidR="00000000" w:rsidDel="00000000" w:rsidP="00000000" w:rsidRDefault="00000000" w:rsidRPr="00000000" w14:paraId="0000034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(workbook) and summative assessments are to be retained</w:t>
            </w:r>
          </w:p>
          <w:p w:rsidR="00000000" w:rsidDel="00000000" w:rsidP="00000000" w:rsidRDefault="00000000" w:rsidRPr="00000000" w14:paraId="0000034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 part of the learner’s portfolio of evidence.</w:t>
            </w:r>
          </w:p>
        </w:tc>
      </w:tr>
    </w:tbl>
    <w:p w:rsidR="00000000" w:rsidDel="00000000" w:rsidP="00000000" w:rsidRDefault="00000000" w:rsidRPr="00000000" w14:paraId="0000035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5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52">
      <w:pPr>
        <w:spacing w:line="360" w:lineRule="auto"/>
        <w:jc w:val="left"/>
        <w:rPr>
          <w:rFonts w:ascii="Century Gothic" w:cs="Century Gothic" w:eastAsia="Century Gothic" w:hAnsi="Century Gothic"/>
          <w:b w:val="1"/>
          <w:bCs w:val="1"/>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3">
      <w:pPr>
        <w:spacing w:after="0" w:lineRule="auto"/>
        <w:jc w:val="left"/>
        <w:rPr>
          <w:rFonts w:ascii="Century Gothic" w:cs="Century Gothic" w:eastAsia="Century Gothic" w:hAnsi="Century Gothic"/>
          <w:b w:val="1"/>
          <w:bCs w:val="1"/>
          <w:color w:val="000000"/>
          <w:sz w:val="32"/>
          <w:szCs w:val="32"/>
        </w:rPr>
      </w:pPr>
      <w:r w:rsidDel="00000000" w:rsidR="00000000" w:rsidRPr="00000000">
        <w:rPr>
          <w:rtl w:val="0"/>
        </w:rPr>
      </w:r>
    </w:p>
    <w:p w:rsidR="00000000" w:rsidDel="00000000" w:rsidP="00000000" w:rsidRDefault="00000000" w:rsidRPr="00000000" w14:paraId="00000354">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2" name=""/>
                <a:graphic>
                  <a:graphicData uri="http://schemas.microsoft.com/office/word/2010/wordprocessingShape">
                    <wps:wsp>
                      <wps:cNvSpPr/>
                      <wps:cNvPr id="3" name="Shape 3"/>
                      <wps:spPr>
                        <a:xfrm>
                          <a:off x="2997135" y="3362488"/>
                          <a:ext cx="4697730" cy="835025"/>
                        </a:xfrm>
                        <a:custGeom>
                          <a:rect b="b" l="l" r="r" t="t"/>
                          <a:pathLst>
                            <a:path extrusionOk="0" h="835025" w="4697730">
                              <a:moveTo>
                                <a:pt x="0" y="0"/>
                              </a:moveTo>
                              <a:lnTo>
                                <a:pt x="0" y="835025"/>
                              </a:lnTo>
                              <a:lnTo>
                                <a:pt x="4697730" y="835025"/>
                              </a:lnTo>
                              <a:lnTo>
                                <a:pt x="4697730"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Comply with service levels as set out in a Contact Centre Operation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07255" cy="844550"/>
                        </a:xfrm>
                        <a:prstGeom prst="rect"/>
                        <a:ln/>
                      </pic:spPr>
                    </pic:pic>
                  </a:graphicData>
                </a:graphic>
              </wp:anchor>
            </w:drawing>
          </mc:Fallback>
        </mc:AlternateContent>
      </w:r>
    </w:p>
    <w:p w:rsidR="00000000" w:rsidDel="00000000" w:rsidP="00000000" w:rsidRDefault="00000000" w:rsidRPr="00000000" w14:paraId="00000355">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10313</w:t>
      </w:r>
      <w:r w:rsidDel="00000000" w:rsidR="00000000" w:rsidRPr="00000000">
        <w:rPr>
          <w:rtl w:val="0"/>
        </w:rPr>
      </w:r>
    </w:p>
    <w:p w:rsidR="00000000" w:rsidDel="00000000" w:rsidP="00000000" w:rsidRDefault="00000000" w:rsidRPr="00000000" w14:paraId="00000356">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rtl w:val="0"/>
        </w:rPr>
        <w:t xml:space="preserve">4</w:t>
      </w:r>
    </w:p>
    <w:p w:rsidR="00000000" w:rsidDel="00000000" w:rsidP="00000000" w:rsidRDefault="00000000" w:rsidRPr="00000000" w14:paraId="00000357">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10</w:t>
      </w:r>
    </w:p>
    <w:p w:rsidR="00000000" w:rsidDel="00000000" w:rsidP="00000000" w:rsidRDefault="00000000" w:rsidRPr="00000000" w14:paraId="00000358">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Business, Commerce and Management Studies</w:t>
      </w:r>
      <w:r w:rsidDel="00000000" w:rsidR="00000000" w:rsidRPr="00000000">
        <w:rPr>
          <w:rtl w:val="0"/>
        </w:rPr>
      </w:r>
    </w:p>
    <w:p w:rsidR="00000000" w:rsidDel="00000000" w:rsidP="00000000" w:rsidRDefault="00000000" w:rsidRPr="00000000" w14:paraId="00000359">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Marketing </w:t>
      </w:r>
    </w:p>
    <w:p w:rsidR="00000000" w:rsidDel="00000000" w:rsidP="00000000" w:rsidRDefault="00000000" w:rsidRPr="00000000" w14:paraId="0000035A">
      <w:pPr>
        <w:spacing w:after="0" w:line="360" w:lineRule="auto"/>
        <w:ind w:left="720" w:firstLine="0"/>
        <w:rPr>
          <w:rFonts w:ascii="Century Gothic" w:cs="Century Gothic" w:eastAsia="Century Gothic" w:hAnsi="Century Gothic"/>
          <w:color w:val="000000"/>
        </w:rPr>
      </w:pPr>
      <w:r w:rsidDel="00000000" w:rsidR="00000000" w:rsidRPr="00000000">
        <w:rPr>
          <w:rtl w:val="0"/>
        </w:rPr>
      </w:r>
    </w:p>
    <w:tbl>
      <w:tblPr>
        <w:tblStyle w:val="Table19"/>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35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35D">
            <w:pPr>
              <w:spacing w:after="0" w:line="360" w:lineRule="auto"/>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5E">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This unit standard forms part of the qualification, National Certificate in Contact Centre Operations NQF Level 4. Learners working towards this unit standard will be learning towards the full qualification, or will be working within a Contact Centre environment, where the acquisition of competence against this standard will add value to learner's job. This unit standard is intended to enhance the provision of intermediate level service within the Contact Centre industry. </w:t>
            </w:r>
          </w:p>
          <w:p w:rsidR="00000000" w:rsidDel="00000000" w:rsidP="00000000" w:rsidRDefault="00000000" w:rsidRPr="00000000" w14:paraId="0000035F">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qualifying learner is capable of: </w:t>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Demonstrating an understanding of company specific service levels. </w:t>
              <w:br w:type="textWrapping"/>
              <w:t xml:space="preserve">Meeting and maintaining service levels</w:t>
            </w:r>
          </w:p>
        </w:tc>
      </w:tr>
      <w:tr>
        <w:trPr>
          <w:cantSplit w:val="0"/>
          <w:trHeight w:val="156" w:hRule="atLeast"/>
          <w:tblHeader w:val="0"/>
        </w:trPr>
        <w:tc>
          <w:tcPr>
            <w:gridSpan w:val="2"/>
            <w:shd w:fill="dfdfdf" w:val="clear"/>
          </w:tcPr>
          <w:p w:rsidR="00000000" w:rsidDel="00000000" w:rsidP="00000000" w:rsidRDefault="00000000" w:rsidRPr="00000000" w14:paraId="00000361">
            <w:pPr>
              <w:spacing w:after="0" w:before="12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363">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Learners accessing this unit standard or qualification will have demonstrated competency against unit standards in Contact Centres at NQF Level 2 or equivalent. </w:t>
              <w:br w:type="textWrapping"/>
              <w:t xml:space="preserve">Learners are expected to have demonstrated competency in language, numeracy, literacy and communication at NQF Level 4 or equivalent. </w:t>
            </w:r>
            <w:r w:rsidDel="00000000" w:rsidR="00000000" w:rsidRPr="00000000">
              <w:rPr>
                <w:rtl w:val="0"/>
              </w:rPr>
            </w:r>
          </w:p>
        </w:tc>
      </w:tr>
    </w:tbl>
    <w:p w:rsidR="00000000" w:rsidDel="00000000" w:rsidP="00000000" w:rsidRDefault="00000000" w:rsidRPr="00000000" w14:paraId="00000365">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6">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367">
      <w:pPr>
        <w:tabs>
          <w:tab w:val="left" w:leader="none" w:pos="3994"/>
        </w:tabs>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8">
      <w:pPr>
        <w:widowControl w:val="0"/>
        <w:shd w:fill="bfbfbf" w:val="clea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w:t>
      </w:r>
      <w:r w:rsidDel="00000000" w:rsidR="00000000" w:rsidRPr="00000000">
        <w:rPr>
          <w:rtl w:val="0"/>
        </w:rPr>
      </w:r>
    </w:p>
    <w:p w:rsidR="00000000" w:rsidDel="00000000" w:rsidP="00000000" w:rsidRDefault="00000000" w:rsidRPr="00000000" w14:paraId="00000369">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0"/>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6A">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36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Demonstrate an understanding of company specific service levels. </w:t>
            </w:r>
            <w:r w:rsidDel="00000000" w:rsidR="00000000" w:rsidRPr="00000000">
              <w:rPr>
                <w:rtl w:val="0"/>
              </w:rPr>
            </w:r>
          </w:p>
        </w:tc>
      </w:tr>
    </w:tbl>
    <w:p w:rsidR="00000000" w:rsidDel="00000000" w:rsidP="00000000" w:rsidRDefault="00000000" w:rsidRPr="00000000" w14:paraId="0000036C">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D">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1"/>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knowledge of Output Based SLA and Input Based SLA</w:t>
            </w:r>
          </w:p>
        </w:tc>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374">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Output Based SLA </w:t>
      </w:r>
    </w:p>
    <w:p w:rsidR="00000000" w:rsidDel="00000000" w:rsidP="00000000" w:rsidRDefault="00000000" w:rsidRPr="00000000" w14:paraId="0000037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Service-level agreements are, by their nature, "output" based — the result of the service as received by the customer is the subject of the "agreement." </w:t>
      </w:r>
    </w:p>
    <w:p w:rsidR="00000000" w:rsidDel="00000000" w:rsidP="00000000" w:rsidRDefault="00000000" w:rsidRPr="00000000" w14:paraId="0000037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(expert) service provider can demonstrate their value by organizing themselves with ingenuity, capability, and knowledge to deliver the service required, perhaps in an innovative way. </w:t>
      </w:r>
    </w:p>
    <w:p w:rsidR="00000000" w:rsidDel="00000000" w:rsidP="00000000" w:rsidRDefault="00000000" w:rsidRPr="00000000" w14:paraId="00000377">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8">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Input Based SLA </w:t>
      </w:r>
    </w:p>
    <w:p w:rsidR="00000000" w:rsidDel="00000000" w:rsidP="00000000" w:rsidRDefault="00000000" w:rsidRPr="00000000" w14:paraId="0000037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Organizations can also specify the way the service is to be delivered, through a specification (a service-level specification) and using subordinate "objectives" other than those related to the level of service. This type of agreement is known as an "input" SLA. </w:t>
      </w:r>
    </w:p>
    <w:p w:rsidR="00000000" w:rsidDel="00000000" w:rsidP="00000000" w:rsidRDefault="00000000" w:rsidRPr="00000000" w14:paraId="0000037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This latter type of requirement is becoming obsolete as organizations become more demanding and shift the delivery methodology risk on to the service provider.</w:t>
      </w:r>
    </w:p>
    <w:p w:rsidR="00000000" w:rsidDel="00000000" w:rsidP="00000000" w:rsidRDefault="00000000" w:rsidRPr="00000000" w14:paraId="0000037B">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2"/>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80">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Show your understanding of the Structure of Service Level Agreements</w:t>
            </w:r>
          </w:p>
        </w:tc>
        <w:tc>
          <w:tcP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382">
      <w:pPr>
        <w:spacing w:line="276"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SLAs commonly include segments to address: a definition of services, performance measurement, problem management, customer duties, warranties, disaster recovery, and termination of agreement. </w:t>
      </w:r>
    </w:p>
    <w:p w:rsidR="00000000" w:rsidDel="00000000" w:rsidP="00000000" w:rsidRDefault="00000000" w:rsidRPr="00000000" w14:paraId="00000383">
      <w:pPr>
        <w:spacing w:line="276"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Service-level agreements (SLAs) are critical for the success of any outsourcing initiative as they set expectations for both parties – the outsourcer and the customer. </w:t>
      </w:r>
    </w:p>
    <w:p w:rsidR="00000000" w:rsidDel="00000000" w:rsidP="00000000" w:rsidRDefault="00000000" w:rsidRPr="00000000" w14:paraId="00000384">
      <w:pPr>
        <w:spacing w:line="276"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 The following outlines the type of information contained in a Service Level Agreement: </w:t>
      </w:r>
    </w:p>
    <w:p w:rsidR="00000000" w:rsidDel="00000000" w:rsidP="00000000" w:rsidRDefault="00000000" w:rsidRPr="00000000" w14:paraId="00000385">
      <w:pPr>
        <w:numPr>
          <w:ilvl w:val="0"/>
          <w:numId w:val="4"/>
        </w:numPr>
        <w:spacing w:line="276" w:lineRule="auto"/>
        <w:ind w:left="360" w:hanging="360"/>
        <w:jc w:val="left"/>
        <w:rPr>
          <w:color w:val="ff0000"/>
        </w:rPr>
      </w:pPr>
      <w:r w:rsidDel="00000000" w:rsidR="00000000" w:rsidRPr="00000000">
        <w:rPr>
          <w:rFonts w:ascii="Century Gothic" w:cs="Century Gothic" w:eastAsia="Century Gothic" w:hAnsi="Century Gothic"/>
          <w:color w:val="ff0000"/>
          <w:rtl w:val="0"/>
        </w:rPr>
        <w:t xml:space="preserve">Operating days and hours </w:t>
      </w:r>
    </w:p>
    <w:p w:rsidR="00000000" w:rsidDel="00000000" w:rsidP="00000000" w:rsidRDefault="00000000" w:rsidRPr="00000000" w14:paraId="00000386">
      <w:pPr>
        <w:numPr>
          <w:ilvl w:val="0"/>
          <w:numId w:val="4"/>
        </w:numPr>
        <w:spacing w:line="276" w:lineRule="auto"/>
        <w:ind w:left="360" w:hanging="360"/>
        <w:jc w:val="left"/>
        <w:rPr>
          <w:color w:val="ff0000"/>
        </w:rPr>
      </w:pPr>
      <w:r w:rsidDel="00000000" w:rsidR="00000000" w:rsidRPr="00000000">
        <w:rPr>
          <w:rFonts w:ascii="Century Gothic" w:cs="Century Gothic" w:eastAsia="Century Gothic" w:hAnsi="Century Gothic"/>
          <w:color w:val="ff0000"/>
          <w:rtl w:val="0"/>
        </w:rPr>
        <w:t xml:space="preserve">Definition of work </w:t>
      </w:r>
    </w:p>
    <w:p w:rsidR="00000000" w:rsidDel="00000000" w:rsidP="00000000" w:rsidRDefault="00000000" w:rsidRPr="00000000" w14:paraId="00000387">
      <w:pPr>
        <w:numPr>
          <w:ilvl w:val="0"/>
          <w:numId w:val="4"/>
        </w:numPr>
        <w:spacing w:line="276" w:lineRule="auto"/>
        <w:ind w:left="360" w:hanging="360"/>
        <w:jc w:val="left"/>
        <w:rPr>
          <w:color w:val="ff0000"/>
        </w:rPr>
      </w:pPr>
      <w:r w:rsidDel="00000000" w:rsidR="00000000" w:rsidRPr="00000000">
        <w:rPr>
          <w:rFonts w:ascii="Century Gothic" w:cs="Century Gothic" w:eastAsia="Century Gothic" w:hAnsi="Century Gothic"/>
          <w:color w:val="ff0000"/>
          <w:rtl w:val="0"/>
        </w:rPr>
        <w:t xml:space="preserve">Processes and procedures </w:t>
      </w:r>
    </w:p>
    <w:p w:rsidR="00000000" w:rsidDel="00000000" w:rsidP="00000000" w:rsidRDefault="00000000" w:rsidRPr="00000000" w14:paraId="00000388">
      <w:pPr>
        <w:numPr>
          <w:ilvl w:val="0"/>
          <w:numId w:val="4"/>
        </w:numPr>
        <w:spacing w:line="276" w:lineRule="auto"/>
        <w:ind w:left="360" w:hanging="360"/>
        <w:jc w:val="left"/>
        <w:rPr>
          <w:color w:val="ff0000"/>
        </w:rPr>
      </w:pPr>
      <w:r w:rsidDel="00000000" w:rsidR="00000000" w:rsidRPr="00000000">
        <w:rPr>
          <w:rFonts w:ascii="Century Gothic" w:cs="Century Gothic" w:eastAsia="Century Gothic" w:hAnsi="Century Gothic"/>
          <w:color w:val="ff0000"/>
          <w:rtl w:val="0"/>
        </w:rPr>
        <w:t xml:space="preserve">Agent quality </w:t>
      </w:r>
    </w:p>
    <w:p w:rsidR="00000000" w:rsidDel="00000000" w:rsidP="00000000" w:rsidRDefault="00000000" w:rsidRPr="00000000" w14:paraId="00000389">
      <w:pPr>
        <w:numPr>
          <w:ilvl w:val="0"/>
          <w:numId w:val="4"/>
        </w:numPr>
        <w:spacing w:line="276" w:lineRule="auto"/>
        <w:ind w:left="360" w:hanging="360"/>
        <w:jc w:val="left"/>
        <w:rPr>
          <w:color w:val="ff0000"/>
        </w:rPr>
      </w:pPr>
      <w:r w:rsidDel="00000000" w:rsidR="00000000" w:rsidRPr="00000000">
        <w:rPr>
          <w:rFonts w:ascii="Century Gothic" w:cs="Century Gothic" w:eastAsia="Century Gothic" w:hAnsi="Century Gothic"/>
          <w:color w:val="ff0000"/>
          <w:rtl w:val="0"/>
        </w:rPr>
        <w:t xml:space="preserve">Agent coaching </w:t>
      </w:r>
    </w:p>
    <w:p w:rsidR="00000000" w:rsidDel="00000000" w:rsidP="00000000" w:rsidRDefault="00000000" w:rsidRPr="00000000" w14:paraId="0000038A">
      <w:pPr>
        <w:numPr>
          <w:ilvl w:val="0"/>
          <w:numId w:val="4"/>
        </w:numPr>
        <w:spacing w:line="276" w:lineRule="auto"/>
        <w:ind w:left="360" w:hanging="360"/>
        <w:jc w:val="left"/>
        <w:rPr>
          <w:color w:val="ff0000"/>
        </w:rPr>
      </w:pPr>
      <w:r w:rsidDel="00000000" w:rsidR="00000000" w:rsidRPr="00000000">
        <w:rPr>
          <w:rFonts w:ascii="Century Gothic" w:cs="Century Gothic" w:eastAsia="Century Gothic" w:hAnsi="Century Gothic"/>
          <w:color w:val="ff0000"/>
          <w:rtl w:val="0"/>
        </w:rPr>
        <w:t xml:space="preserve">Agent training </w:t>
      </w:r>
    </w:p>
    <w:p w:rsidR="00000000" w:rsidDel="00000000" w:rsidP="00000000" w:rsidRDefault="00000000" w:rsidRPr="00000000" w14:paraId="0000038B">
      <w:pPr>
        <w:numPr>
          <w:ilvl w:val="0"/>
          <w:numId w:val="4"/>
        </w:numPr>
        <w:spacing w:line="276" w:lineRule="auto"/>
        <w:ind w:left="360" w:hanging="360"/>
        <w:jc w:val="left"/>
        <w:rPr>
          <w:color w:val="ff0000"/>
        </w:rPr>
      </w:pPr>
      <w:r w:rsidDel="00000000" w:rsidR="00000000" w:rsidRPr="00000000">
        <w:rPr>
          <w:rFonts w:ascii="Century Gothic" w:cs="Century Gothic" w:eastAsia="Century Gothic" w:hAnsi="Century Gothic"/>
          <w:color w:val="ff0000"/>
          <w:rtl w:val="0"/>
        </w:rPr>
        <w:t xml:space="preserve">Escalation procedures </w:t>
      </w:r>
    </w:p>
    <w:tbl>
      <w:tblPr>
        <w:tblStyle w:val="Table23"/>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9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knowledge of Monitoring Service Level Agreements</w:t>
            </w:r>
            <w:r w:rsidDel="00000000" w:rsidR="00000000" w:rsidRPr="00000000">
              <w:rPr>
                <w:rtl w:val="0"/>
              </w:rPr>
            </w:r>
          </w:p>
        </w:tc>
        <w:tc>
          <w:tcP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Because of the importance to business operations, companies manage sourcing arrangements through complex contracts that contain detailed statements of work (SOW) describing the services and deliverables to be provided, and SLA’s that use metrics to describe the desired performance standards and a framework for monitoring the ongoing delivery of service. </w:t>
      </w:r>
    </w:p>
    <w:p w:rsidR="00000000" w:rsidDel="00000000" w:rsidP="00000000" w:rsidRDefault="00000000" w:rsidRPr="00000000" w14:paraId="0000039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When chosen wisely and implemented / monitored correctly, service level metrics are an invaluable governance tool.</w:t>
      </w:r>
    </w:p>
    <w:p w:rsidR="00000000" w:rsidDel="00000000" w:rsidP="00000000" w:rsidRDefault="00000000" w:rsidRPr="00000000" w14:paraId="00000394">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They can provide: </w:t>
      </w:r>
    </w:p>
    <w:p w:rsidR="00000000" w:rsidDel="00000000" w:rsidP="00000000" w:rsidRDefault="00000000" w:rsidRPr="00000000" w14:paraId="00000395">
      <w:pPr>
        <w:numPr>
          <w:ilvl w:val="0"/>
          <w:numId w:val="5"/>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Precise delivery standards for service attributes such as quality, responsiveness, and efficiency </w:t>
      </w:r>
    </w:p>
    <w:p w:rsidR="00000000" w:rsidDel="00000000" w:rsidP="00000000" w:rsidRDefault="00000000" w:rsidRPr="00000000" w14:paraId="00000396">
      <w:pPr>
        <w:numPr>
          <w:ilvl w:val="0"/>
          <w:numId w:val="5"/>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An objective means for determining whether ongoing performance meets expectations and a basis for triggering rewards of penalties based on that performance. </w:t>
      </w:r>
    </w:p>
    <w:p w:rsidR="00000000" w:rsidDel="00000000" w:rsidP="00000000" w:rsidRDefault="00000000" w:rsidRPr="00000000" w14:paraId="00000397">
      <w:pPr>
        <w:numPr>
          <w:ilvl w:val="0"/>
          <w:numId w:val="5"/>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Valuable trend and operational data that enables the rapid identification and correction of issues </w:t>
      </w:r>
    </w:p>
    <w:p w:rsidR="00000000" w:rsidDel="00000000" w:rsidP="00000000" w:rsidRDefault="00000000" w:rsidRPr="00000000" w14:paraId="00000398">
      <w:pPr>
        <w:numPr>
          <w:ilvl w:val="0"/>
          <w:numId w:val="5"/>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A foundation for making informed adjustments in service delivery to meet changing business requirements.</w:t>
      </w:r>
    </w:p>
    <w:p w:rsidR="00000000" w:rsidDel="00000000" w:rsidP="00000000" w:rsidRDefault="00000000" w:rsidRPr="00000000" w14:paraId="00000399">
      <w:pPr>
        <w:spacing w:after="0" w:line="360" w:lineRule="auto"/>
        <w:jc w:val="left"/>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A">
      <w:pPr>
        <w:spacing w:after="0" w:line="360" w:lineRule="auto"/>
        <w:jc w:val="left"/>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B">
      <w:pPr>
        <w:spacing w:after="0" w:line="360" w:lineRule="auto"/>
        <w:jc w:val="left"/>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C">
      <w:pPr>
        <w:spacing w:after="0" w:line="360" w:lineRule="auto"/>
        <w:jc w:val="left"/>
        <w:rPr>
          <w:rFonts w:ascii="Century Gothic" w:cs="Century Gothic" w:eastAsia="Century Gothic" w:hAnsi="Century Gothic"/>
          <w:color w:val="ff0000"/>
        </w:rPr>
      </w:pPr>
      <w:r w:rsidDel="00000000" w:rsidR="00000000" w:rsidRPr="00000000">
        <w:rPr>
          <w:rtl w:val="0"/>
        </w:rPr>
      </w:r>
    </w:p>
    <w:tbl>
      <w:tblPr>
        <w:tblStyle w:val="Table24"/>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A1">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Despite their importance, service level metrics are often added as an afterthought when negotiating a service level agreement. Explain why Service Metrics Fail?</w:t>
            </w:r>
          </w:p>
        </w:tc>
        <w:tc>
          <w:tcP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A3">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Why Service Metrics Fail </w:t>
      </w:r>
    </w:p>
    <w:p w:rsidR="00000000" w:rsidDel="00000000" w:rsidP="00000000" w:rsidRDefault="00000000" w:rsidRPr="00000000" w14:paraId="000003A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Despite their importance, service level metrics are often added as an afterthought when negotiating a service level agreement.</w:t>
      </w:r>
    </w:p>
    <w:p w:rsidR="00000000" w:rsidDel="00000000" w:rsidP="00000000" w:rsidRDefault="00000000" w:rsidRPr="00000000" w14:paraId="000003A5">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1. Wrong Metrics </w:t>
      </w:r>
    </w:p>
    <w:p w:rsidR="00000000" w:rsidDel="00000000" w:rsidP="00000000" w:rsidRDefault="00000000" w:rsidRPr="00000000" w14:paraId="000003A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Companies enter into service level agreements for one reason – to further one or more business objectives. If the goal is to streamline operations, then the service metric should measure the services improvement to company’s operation.</w:t>
      </w:r>
    </w:p>
    <w:p w:rsidR="00000000" w:rsidDel="00000000" w:rsidP="00000000" w:rsidRDefault="00000000" w:rsidRPr="00000000" w14:paraId="000003A7">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A8">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Note: </w:t>
      </w:r>
    </w:p>
    <w:p w:rsidR="00000000" w:rsidDel="00000000" w:rsidP="00000000" w:rsidRDefault="00000000" w:rsidRPr="00000000" w14:paraId="000003A9">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Typical mistakes made in choosing metrics: </w:t>
      </w:r>
    </w:p>
    <w:p w:rsidR="00000000" w:rsidDel="00000000" w:rsidP="00000000" w:rsidRDefault="00000000" w:rsidRPr="00000000" w14:paraId="000003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Going for ease of measurement rather than fit to business objective </w:t>
      </w:r>
    </w:p>
    <w:p w:rsidR="00000000" w:rsidDel="00000000" w:rsidP="00000000" w:rsidRDefault="00000000" w:rsidRPr="00000000" w14:paraId="000003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Not considering collection and analysis effort </w:t>
      </w:r>
    </w:p>
    <w:p w:rsidR="00000000" w:rsidDel="00000000" w:rsidP="00000000" w:rsidRDefault="00000000" w:rsidRPr="00000000" w14:paraId="000003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Does not provide actionable information – if it does not clearly tell you what should be done to fix the problem, it is a useless metric </w:t>
      </w:r>
    </w:p>
    <w:p w:rsidR="00000000" w:rsidDel="00000000" w:rsidP="00000000" w:rsidRDefault="00000000" w:rsidRPr="00000000" w14:paraId="000003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Measuring attributes outside the service provider’s control </w:t>
      </w:r>
    </w:p>
    <w:p w:rsidR="00000000" w:rsidDel="00000000" w:rsidP="00000000" w:rsidRDefault="00000000" w:rsidRPr="00000000" w14:paraId="000003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Picking a metric that is not clearly defined, and methods of collection of metric data are open to interpretation.</w:t>
      </w:r>
    </w:p>
    <w:p w:rsidR="00000000" w:rsidDel="00000000" w:rsidP="00000000" w:rsidRDefault="00000000" w:rsidRPr="00000000" w14:paraId="000003AF">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2. Wrong Target Setting </w:t>
      </w:r>
    </w:p>
    <w:p w:rsidR="00000000" w:rsidDel="00000000" w:rsidP="00000000" w:rsidRDefault="00000000" w:rsidRPr="00000000" w14:paraId="000003B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service level agreement (SLA) normally contains both metrics and targets. For example, a Call Centre metric may be “calls per rep per hour” and the target may be set to 15. The service provider is judged (and rewarded / penalized) by its ability to meet the target. Often companies set targets to what is desirable rather than realistically achievable, or set the targets too low to achieve business goals. </w:t>
      </w:r>
    </w:p>
    <w:p w:rsidR="00000000" w:rsidDel="00000000" w:rsidP="00000000" w:rsidRDefault="00000000" w:rsidRPr="00000000" w14:paraId="000003B1">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 3. Insufficient Metrics to support sound decision making </w:t>
      </w:r>
    </w:p>
    <w:p w:rsidR="00000000" w:rsidDel="00000000" w:rsidP="00000000" w:rsidRDefault="00000000" w:rsidRPr="00000000" w14:paraId="000003B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Simplicity is a valid objective when choosing metrics for a SLA, and is often applied to the point if listing a few key indicators only. Though such metrics may be useful, they may not be able to supply the entire picture or assist in troubleshooting when things go wrong. </w:t>
      </w:r>
    </w:p>
    <w:p w:rsidR="00000000" w:rsidDel="00000000" w:rsidP="00000000" w:rsidRDefault="00000000" w:rsidRPr="00000000" w14:paraId="000003B3">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4. Improper set up and infrastructure to support metric usage </w:t>
      </w:r>
    </w:p>
    <w:p w:rsidR="00000000" w:rsidDel="00000000" w:rsidP="00000000" w:rsidRDefault="00000000" w:rsidRPr="00000000" w14:paraId="000003B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Like any other tool, metrics require an investment of time, resources, education to be effective. SLA reporting is often seen as a burdensome overhead activity that produces reams of number filled data that lies unread in a cubicle. Someone in the organization must be responsible (and held accountable) for managing vendor’s performance to its terms.</w:t>
      </w:r>
    </w:p>
    <w:p w:rsidR="00000000" w:rsidDel="00000000" w:rsidP="00000000" w:rsidRDefault="00000000" w:rsidRPr="00000000" w14:paraId="000003B5">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Tip: </w:t>
      </w:r>
    </w:p>
    <w:p w:rsidR="00000000" w:rsidDel="00000000" w:rsidP="00000000" w:rsidRDefault="00000000" w:rsidRPr="00000000" w14:paraId="000003B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Planning for and implementing metrics collection, analysis and reporting processes is essential – and training of the Business managers (and Directors) in reading and interpreting the metric data is just as essential.</w:t>
      </w:r>
    </w:p>
    <w:p w:rsidR="00000000" w:rsidDel="00000000" w:rsidP="00000000" w:rsidRDefault="00000000" w:rsidRPr="00000000" w14:paraId="000003B7">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B8">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5. Misused penalties and incentives </w:t>
      </w:r>
    </w:p>
    <w:p w:rsidR="00000000" w:rsidDel="00000000" w:rsidP="00000000" w:rsidRDefault="00000000" w:rsidRPr="00000000" w14:paraId="000003B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Performance penalties and rewards can be a powerful tool if used correctly, but can poison the relationship if used incorrectly, even encouraging wrong behaviours. Metrics must be firmly aligned to business objectives, and penalties / rewards meaningful contributor.</w:t>
      </w:r>
    </w:p>
    <w:p w:rsidR="00000000" w:rsidDel="00000000" w:rsidP="00000000" w:rsidRDefault="00000000" w:rsidRPr="00000000" w14:paraId="000003BA">
      <w:pPr>
        <w:spacing w:line="276" w:lineRule="auto"/>
        <w:jc w:val="left"/>
        <w:rPr>
          <w:rFonts w:ascii="Century Gothic" w:cs="Century Gothic" w:eastAsia="Century Gothic" w:hAnsi="Century Gothic"/>
          <w:color w:val="ff0000"/>
        </w:rPr>
      </w:pPr>
      <w:r w:rsidDel="00000000" w:rsidR="00000000" w:rsidRPr="00000000">
        <w:br w:type="page"/>
      </w:r>
      <w:r w:rsidDel="00000000" w:rsidR="00000000" w:rsidRPr="00000000">
        <w:rPr>
          <w:rtl w:val="0"/>
        </w:rPr>
      </w:r>
    </w:p>
    <w:tbl>
      <w:tblPr>
        <w:tblStyle w:val="Table25"/>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BB">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3B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Meet and maintain service levels. </w:t>
            </w:r>
            <w:r w:rsidDel="00000000" w:rsidR="00000000" w:rsidRPr="00000000">
              <w:rPr>
                <w:rtl w:val="0"/>
              </w:rPr>
            </w:r>
          </w:p>
        </w:tc>
      </w:tr>
    </w:tbl>
    <w:p w:rsidR="00000000" w:rsidDel="00000000" w:rsidP="00000000" w:rsidRDefault="00000000" w:rsidRPr="00000000" w14:paraId="000003BD">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BE">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6"/>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C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Alternative Monitoring Methods </w:t>
            </w:r>
          </w:p>
          <w:p w:rsidR="00000000" w:rsidDel="00000000" w:rsidP="00000000" w:rsidRDefault="00000000" w:rsidRPr="00000000" w14:paraId="000003C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Read the article provided below, and then each one of you answer the following questions: </w:t>
            </w:r>
          </w:p>
          <w:p w:rsidR="00000000" w:rsidDel="00000000" w:rsidP="00000000" w:rsidRDefault="00000000" w:rsidRPr="00000000" w14:paraId="000003C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Do you agree that with the Author that the use of traditional statistics may have reached their “sell by” date? Motivate your answer. </w:t>
            </w:r>
          </w:p>
          <w:p w:rsidR="00000000" w:rsidDel="00000000" w:rsidP="00000000" w:rsidRDefault="00000000" w:rsidRPr="00000000" w14:paraId="000003C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What does the Author suggest as alternative monitoring parameters – do you agree with him? Motivate your answer.</w:t>
            </w:r>
          </w:p>
          <w:p w:rsidR="00000000" w:rsidDel="00000000" w:rsidP="00000000" w:rsidRDefault="00000000" w:rsidRPr="00000000" w14:paraId="000003C7">
            <w:pPr>
              <w:spacing w:after="0" w:line="360" w:lineRule="auto"/>
              <w:rPr>
                <w:rFonts w:ascii="Century Gothic" w:cs="Century Gothic" w:eastAsia="Century Gothic" w:hAnsi="Century Gothic"/>
                <w:b w:val="1"/>
                <w:bCs w:val="1"/>
              </w:rPr>
            </w:pPr>
            <w:r w:rsidDel="00000000" w:rsidR="00000000" w:rsidRPr="00000000">
              <w:rPr>
                <w:rtl w:val="0"/>
              </w:rPr>
            </w:r>
          </w:p>
        </w:tc>
        <w:tc>
          <w:tcPr>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10</w:t>
            </w:r>
          </w:p>
        </w:tc>
      </w:tr>
    </w:tbl>
    <w:p w:rsidR="00000000" w:rsidDel="00000000" w:rsidP="00000000" w:rsidRDefault="00000000" w:rsidRPr="00000000" w14:paraId="000003C9">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CA">
      <w:pPr>
        <w:spacing w:after="0" w:line="360" w:lineRule="auto"/>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Alternative Monitoring Strategy</w:t>
      </w:r>
    </w:p>
    <w:p w:rsidR="00000000" w:rsidDel="00000000" w:rsidP="00000000" w:rsidRDefault="00000000" w:rsidRPr="00000000" w14:paraId="000003CB">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We all measure the number of calls answered in 15 seconds, and the amount of wrap-up time. Why? Because they are easy to measure. </w:t>
      </w:r>
    </w:p>
    <w:p w:rsidR="00000000" w:rsidDel="00000000" w:rsidP="00000000" w:rsidRDefault="00000000" w:rsidRPr="00000000" w14:paraId="000003CC">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Richard Snow’s research indicates that they may have gone past their sell-by date. </w:t>
      </w:r>
    </w:p>
    <w:p w:rsidR="00000000" w:rsidDel="00000000" w:rsidP="00000000" w:rsidRDefault="00000000" w:rsidRPr="00000000" w14:paraId="000003CD">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Last year, I carried out a benchmark study into agent performance management. One of the key questions was about what metrics companies currently use to measure how well they are performing at handling customer interactions. </w:t>
      </w:r>
    </w:p>
    <w:p w:rsidR="00000000" w:rsidDel="00000000" w:rsidP="00000000" w:rsidRDefault="00000000" w:rsidRPr="00000000" w14:paraId="000003CE">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 deliberately included options that might be seen as traditional service-level measures and others that are much more business and outcome related.</w:t>
      </w:r>
    </w:p>
    <w:p w:rsidR="00000000" w:rsidDel="00000000" w:rsidP="00000000" w:rsidRDefault="00000000" w:rsidRPr="00000000" w14:paraId="000003CF">
      <w:pPr>
        <w:spacing w:after="0" w:line="360" w:lineRule="auto"/>
        <w:rPr>
          <w:rFonts w:ascii="Century Gothic" w:cs="Century Gothic" w:eastAsia="Century Gothic" w:hAnsi="Century Gothic"/>
          <w:color w:val="ff0000"/>
          <w:sz w:val="20"/>
          <w:szCs w:val="20"/>
        </w:rPr>
      </w:pPr>
      <w:r w:rsidDel="00000000" w:rsidR="00000000" w:rsidRPr="00000000">
        <w:rPr>
          <w:rtl w:val="0"/>
        </w:rPr>
      </w:r>
    </w:p>
    <w:p w:rsidR="00000000" w:rsidDel="00000000" w:rsidP="00000000" w:rsidRDefault="00000000" w:rsidRPr="00000000" w14:paraId="000003D0">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Pr>
        <w:drawing>
          <wp:inline distB="0" distT="0" distL="0" distR="0">
            <wp:extent cx="5334000" cy="342900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34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As the chart shows, the results were quite interesting and not really that unexpected, given my overall experience talking to contact centre managers.</w:t>
      </w:r>
    </w:p>
    <w:p w:rsidR="00000000" w:rsidDel="00000000" w:rsidP="00000000" w:rsidRDefault="00000000" w:rsidRPr="00000000" w14:paraId="000003D2">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 biggest surprise was that the two metrics about pure volumes of calls and other types of interactions handled only made it as far as 9th and 10th in the list. This suggests companies are more interested in timing statistics, with average length of a call not surprisingly being the number one metric and the time taken to complete after-call work making number 4.</w:t>
      </w:r>
    </w:p>
    <w:p w:rsidR="00000000" w:rsidDel="00000000" w:rsidP="00000000" w:rsidRDefault="00000000" w:rsidRPr="00000000" w14:paraId="000003D3">
      <w:pPr>
        <w:spacing w:after="0" w:line="360" w:lineRule="auto"/>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First-call resolution </w:t>
      </w:r>
    </w:p>
    <w:p w:rsidR="00000000" w:rsidDel="00000000" w:rsidP="00000000" w:rsidRDefault="00000000" w:rsidRPr="00000000" w14:paraId="000003D4">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In terms of business and outcome measures, first-call resolution rates have climbed up the list and made it to number 2, and, given all the hype around it, not surprisingly customer satisfaction scores make it into the top five. </w:t>
      </w:r>
    </w:p>
    <w:p w:rsidR="00000000" w:rsidDel="00000000" w:rsidP="00000000" w:rsidRDefault="00000000" w:rsidRPr="00000000" w14:paraId="000003D5">
      <w:pPr>
        <w:spacing w:after="0" w:line="360" w:lineRule="auto"/>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But what of real business measures? </w:t>
      </w:r>
    </w:p>
    <w:p w:rsidR="00000000" w:rsidDel="00000000" w:rsidP="00000000" w:rsidRDefault="00000000" w:rsidRPr="00000000" w14:paraId="000003D6">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You have to look quite a long way down the list to number 6 before you see anything business related (number of customer saves) and value of sales only makes it in at number 12, and number of new accounts generated comes bottom of the list. </w:t>
      </w:r>
    </w:p>
    <w:p w:rsidR="00000000" w:rsidDel="00000000" w:rsidP="00000000" w:rsidRDefault="00000000" w:rsidRPr="00000000" w14:paraId="000003D7">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This all rather suggests that traditional service-level metrics have far from reached their sell-by date and companies are more interested in how efficient their centres are rather than how effectively they are performing at delivering against key business objectives. </w:t>
      </w:r>
    </w:p>
    <w:p w:rsidR="00000000" w:rsidDel="00000000" w:rsidP="00000000" w:rsidRDefault="00000000" w:rsidRPr="00000000" w14:paraId="000003D8">
      <w:pPr>
        <w:spacing w:after="0" w:line="360" w:lineRule="auto"/>
        <w:rPr>
          <w:rFonts w:ascii="Century Gothic" w:cs="Century Gothic" w:eastAsia="Century Gothic" w:hAnsi="Century Gothic"/>
          <w:b w:val="1"/>
          <w:bCs w:val="1"/>
          <w:color w:val="ff0000"/>
          <w:sz w:val="20"/>
          <w:szCs w:val="20"/>
        </w:rPr>
      </w:pPr>
      <w:r w:rsidDel="00000000" w:rsidR="00000000" w:rsidRPr="00000000">
        <w:rPr>
          <w:rFonts w:ascii="Century Gothic" w:cs="Century Gothic" w:eastAsia="Century Gothic" w:hAnsi="Century Gothic"/>
          <w:b w:val="1"/>
          <w:bCs w:val="1"/>
          <w:color w:val="ff0000"/>
          <w:sz w:val="20"/>
          <w:szCs w:val="20"/>
          <w:rtl w:val="0"/>
        </w:rPr>
        <w:t xml:space="preserve">The average company uses six measurements </w:t>
      </w:r>
    </w:p>
    <w:p w:rsidR="00000000" w:rsidDel="00000000" w:rsidP="00000000" w:rsidRDefault="00000000" w:rsidRPr="00000000" w14:paraId="000003D9">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What these top-line results don’t show is that on average companies use six metrics to judge the performance of their centres, and indeed the six includes a mixture of service-level metrics, outcome measures and business-related measures. </w:t>
      </w:r>
    </w:p>
    <w:p w:rsidR="00000000" w:rsidDel="00000000" w:rsidP="00000000" w:rsidRDefault="00000000" w:rsidRPr="00000000" w14:paraId="000003DA">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It is this that really points us to the answer as to whether service stats have outlived their sell-by date, which is of course “yes” and “no”. Yes because by themselves they don’t paint the complete picture and used incorrectly they could actually do more harm than good, and no because they will always be part of any set of metrics used to judge the performance of contact centres (or more broadly, the handling of customer interactions). </w:t>
      </w:r>
    </w:p>
    <w:p w:rsidR="00000000" w:rsidDel="00000000" w:rsidP="00000000" w:rsidRDefault="00000000" w:rsidRPr="00000000" w14:paraId="000003DB">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What I think we will see is that the mix of metrics will change, so while traditional service metrics will remain, the balance will swing more to business- and outcome-related metrics. </w:t>
      </w:r>
    </w:p>
    <w:p w:rsidR="00000000" w:rsidDel="00000000" w:rsidP="00000000" w:rsidRDefault="00000000" w:rsidRPr="00000000" w14:paraId="000003DC">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In fact, I have already seen more importance being placed on a crucial metric – first-call (or interaction) resolution rates (FCR). </w:t>
      </w:r>
    </w:p>
    <w:p w:rsidR="00000000" w:rsidDel="00000000" w:rsidP="00000000" w:rsidRDefault="00000000" w:rsidRPr="00000000" w14:paraId="000003DD">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FCR in truth is a hybrid metric in that it includes an element of efficiency (more interactions were closed at the first attempt so more efficient and fewer follow-ups, also saving money) and an element of outcome (more closed at the first attempt, so happy customers). </w:t>
      </w:r>
    </w:p>
    <w:p w:rsidR="00000000" w:rsidDel="00000000" w:rsidP="00000000" w:rsidRDefault="00000000" w:rsidRPr="00000000" w14:paraId="000003DE">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 challenge for companies is to measure true FCR rates, for example, closing a call by saying “someone will get back to you” should not be included as closed at the first attempt. </w:t>
      </w:r>
    </w:p>
    <w:p w:rsidR="00000000" w:rsidDel="00000000" w:rsidP="00000000" w:rsidRDefault="00000000" w:rsidRPr="00000000" w14:paraId="000003DF">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These days’ companies have to look across multiple channels to track interactions and define, then monitor, which are truly closed to the customer’s satisfaction. </w:t>
      </w:r>
    </w:p>
    <w:p w:rsidR="00000000" w:rsidDel="00000000" w:rsidP="00000000" w:rsidRDefault="00000000" w:rsidRPr="00000000" w14:paraId="000003E0">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However, what is interesting is that centre managers I have spoken with say changing to focus on FCR brings about a change of behaviour in people handling interactions, in that they try harder to solve the customer’s issue, which can only be good for the customer, the company and the agent. </w:t>
      </w:r>
    </w:p>
    <w:p w:rsidR="00000000" w:rsidDel="00000000" w:rsidP="00000000" w:rsidRDefault="00000000" w:rsidRPr="00000000" w14:paraId="000003E1">
      <w:pP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And this is why companies need to move on from just relying on traditional service-level metrics and begin to include business- and outcome-related measures in a composite set of metrics that drive better behaviours, that deliver better business results, and as a consequence indeed drive some of the efficiencies they are so eager to see.</w:t>
      </w:r>
    </w:p>
    <w:p w:rsidR="00000000" w:rsidDel="00000000" w:rsidP="00000000" w:rsidRDefault="00000000" w:rsidRPr="00000000" w14:paraId="000003E2">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7"/>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E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Give a detailed description on  data quality and data analysis</w:t>
            </w:r>
          </w:p>
        </w:tc>
        <w:tc>
          <w:tcPr>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E9">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Data Quality </w:t>
      </w:r>
    </w:p>
    <w:p w:rsidR="00000000" w:rsidDel="00000000" w:rsidP="00000000" w:rsidRDefault="00000000" w:rsidRPr="00000000" w14:paraId="000003E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Poor data quality makes an otherwise helpful report and insight useless. It is very important to realize that a functioning contact centre is not automatically ready for implementing performance management strategies. This is because the rigor applied to validate data quality during implementation may not rise to the standard expected for performance management. </w:t>
      </w:r>
    </w:p>
    <w:p w:rsidR="00000000" w:rsidDel="00000000" w:rsidP="00000000" w:rsidRDefault="00000000" w:rsidRPr="00000000" w14:paraId="000003E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Data Analysis is </w:t>
      </w:r>
      <w:r w:rsidDel="00000000" w:rsidR="00000000" w:rsidRPr="00000000">
        <w:rPr>
          <w:rFonts w:ascii="Century Gothic" w:cs="Century Gothic" w:eastAsia="Century Gothic" w:hAnsi="Century Gothic"/>
          <w:color w:val="ff0000"/>
          <w:rtl w:val="0"/>
        </w:rPr>
        <w:t xml:space="preserve">an important step in any performance management initiative. During this process, data has to be compared against system of records to identify inconsistencies. This activity has to be performed on a periodic basis to ensure clean data.</w:t>
      </w:r>
    </w:p>
    <w:p w:rsidR="00000000" w:rsidDel="00000000" w:rsidP="00000000" w:rsidRDefault="00000000" w:rsidRPr="00000000" w14:paraId="000003EC">
      <w:pPr>
        <w:spacing w:after="0" w:line="360" w:lineRule="auto"/>
        <w:rPr>
          <w:rFonts w:ascii="Century Gothic" w:cs="Century Gothic" w:eastAsia="Century Gothic" w:hAnsi="Century Gothic"/>
          <w:color w:val="ff0000"/>
        </w:rPr>
      </w:pPr>
      <w:r w:rsidDel="00000000" w:rsidR="00000000" w:rsidRPr="00000000">
        <w:rPr>
          <w:rtl w:val="0"/>
        </w:rPr>
      </w:r>
    </w:p>
    <w:sectPr>
      <w:headerReference r:id="rId11" w:type="default"/>
      <w:footerReference r:id="rId12" w:type="default"/>
      <w:type w:val="nextPage"/>
      <w:pgSz w:h="16838" w:w="11906" w:orient="portrait"/>
      <w:pgMar w:bottom="1440" w:top="1440" w:left="1440" w:right="14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