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AC72A" w14:textId="77777777" w:rsidR="00FF7522" w:rsidRDefault="00B3730D">
      <w:pPr>
        <w:jc w:val="center"/>
      </w:pPr>
      <w:r>
        <w:rPr>
          <w:b/>
          <w:sz w:val="40"/>
        </w:rPr>
        <w:t>Agent Onboarding &amp; Creation Workflow</w:t>
      </w:r>
      <w:r>
        <w:rPr>
          <w:b/>
          <w:sz w:val="40"/>
        </w:rPr>
        <w:br/>
      </w:r>
      <w:r>
        <w:rPr>
          <w:i/>
          <w:sz w:val="24"/>
        </w:rPr>
        <w:t>Quantified ROI Analysis | Money, Time, Capacity, Error Reduction, and Governance Impact</w:t>
      </w:r>
    </w:p>
    <w:p w14:paraId="623BF842" w14:textId="77777777" w:rsidR="00FF7522" w:rsidRDefault="00B3730D">
      <w:pPr>
        <w:jc w:val="center"/>
      </w:pPr>
      <w:r>
        <w:rPr>
          <w:b/>
        </w:rPr>
        <w:t>Prepared for WFM / Access Management / NICE IEX Implementation</w:t>
      </w:r>
      <w:r>
        <w:rPr>
          <w:b/>
        </w:rPr>
        <w:br/>
      </w:r>
      <w:r>
        <w:t>Date: 2026-06-01</w:t>
      </w:r>
    </w:p>
    <w:p w14:paraId="2AA48A3C" w14:textId="77777777" w:rsidR="00FF7522" w:rsidRDefault="00B3730D">
      <w:pPr>
        <w:pStyle w:val="Heading1"/>
      </w:pPr>
      <w:r>
        <w:t>Workflow Diagram</w:t>
      </w:r>
    </w:p>
    <w:p w14:paraId="672A6659" w14:textId="4EB52676" w:rsidR="00FF7522" w:rsidRDefault="00B3730D">
      <w:r>
        <w:rPr>
          <w:noProof/>
        </w:rPr>
        <w:drawing>
          <wp:anchor distT="0" distB="0" distL="114300" distR="114300" simplePos="0" relativeHeight="251658240" behindDoc="0" locked="0" layoutInCell="1" allowOverlap="1" wp14:anchorId="4C897D31" wp14:editId="25117C27">
            <wp:simplePos x="0" y="0"/>
            <wp:positionH relativeFrom="column">
              <wp:align>left</wp:align>
            </wp:positionH>
            <wp:positionV relativeFrom="paragraph">
              <wp:posOffset>0</wp:posOffset>
            </wp:positionV>
            <wp:extent cx="7424777" cy="50231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424777" cy="5023125"/>
                    </a:xfrm>
                    <a:prstGeom prst="rect">
                      <a:avLst/>
                    </a:prstGeom>
                  </pic:spPr>
                </pic:pic>
              </a:graphicData>
            </a:graphic>
            <wp14:sizeRelH relativeFrom="page">
              <wp14:pctWidth>0</wp14:pctWidth>
            </wp14:sizeRelH>
            <wp14:sizeRelV relativeFrom="page">
              <wp14:pctHeight>0</wp14:pctHeight>
            </wp14:sizeRelV>
          </wp:anchor>
        </w:drawing>
      </w:r>
    </w:p>
    <w:p w14:paraId="2DD32638" w14:textId="77777777" w:rsidR="00FF7522" w:rsidRDefault="00B3730D">
      <w:pPr>
        <w:jc w:val="center"/>
      </w:pPr>
      <w:r>
        <w:t>Figure 1. Current end-to-end onboarding workflow used as the process basis for this analysis.</w:t>
      </w:r>
    </w:p>
    <w:p w14:paraId="0583529C" w14:textId="77777777" w:rsidR="00FF7522" w:rsidRDefault="00B3730D">
      <w:pPr>
        <w:pStyle w:val="Heading1"/>
      </w:pPr>
      <w:r>
        <w:t>1. Executive Summary</w:t>
      </w:r>
    </w:p>
    <w:p w14:paraId="6E3C0064" w14:textId="77777777" w:rsidR="00FF7522" w:rsidRDefault="00B3730D">
      <w:r>
        <w:t xml:space="preserve">This document expands the current onboarding workflow into a quantified business case. It combines the current end-to-end process design (vendor roster lock to SharePoint ingestion to Power Automate to validation to Fieldglass to NUID to master roster to NICE IEX profile creation) with internal WFM automation benchmarks that already demonstrated measurable financial and capacity benefits in production. Where an exact value for this specific onboarding workflow is not </w:t>
      </w:r>
      <w:r>
        <w:lastRenderedPageBreak/>
        <w:t>documented in the available source material, the document labels the figure as a modeled estimate or as a benefit-tracking metric that should be measured during rollout.</w:t>
      </w:r>
    </w:p>
    <w:p w14:paraId="36A90F42" w14:textId="77777777" w:rsidR="00FF7522" w:rsidRDefault="00B3730D">
      <w:pPr>
        <w:pStyle w:val="Heading2"/>
      </w:pPr>
      <w:r>
        <w:t>Quantified headline values (internal benchmark data and transparent calculations):</w:t>
      </w:r>
    </w:p>
    <w:tbl>
      <w:tblPr>
        <w:tblStyle w:val="TableGrid"/>
        <w:tblW w:w="0" w:type="auto"/>
        <w:tblLook w:val="04A0" w:firstRow="1" w:lastRow="0" w:firstColumn="1" w:lastColumn="0" w:noHBand="0" w:noVBand="1"/>
      </w:tblPr>
      <w:tblGrid>
        <w:gridCol w:w="2625"/>
        <w:gridCol w:w="2626"/>
        <w:gridCol w:w="2625"/>
        <w:gridCol w:w="2626"/>
      </w:tblGrid>
      <w:tr w:rsidR="00FF7522" w14:paraId="51DCBA4C" w14:textId="77777777">
        <w:tc>
          <w:tcPr>
            <w:tcW w:w="2628" w:type="dxa"/>
            <w:shd w:val="clear" w:color="auto" w:fill="D9EAF7"/>
          </w:tcPr>
          <w:p w14:paraId="03DECD36" w14:textId="77777777" w:rsidR="00FF7522" w:rsidRDefault="00B3730D">
            <w:r>
              <w:rPr>
                <w:b/>
              </w:rPr>
              <w:t>Metric</w:t>
            </w:r>
          </w:p>
        </w:tc>
        <w:tc>
          <w:tcPr>
            <w:tcW w:w="2628" w:type="dxa"/>
            <w:shd w:val="clear" w:color="auto" w:fill="D9EAF7"/>
          </w:tcPr>
          <w:p w14:paraId="75ABB82A" w14:textId="77777777" w:rsidR="00FF7522" w:rsidRDefault="00B3730D">
            <w:r>
              <w:rPr>
                <w:b/>
              </w:rPr>
              <w:t>Conservative</w:t>
            </w:r>
          </w:p>
        </w:tc>
        <w:tc>
          <w:tcPr>
            <w:tcW w:w="2628" w:type="dxa"/>
            <w:shd w:val="clear" w:color="auto" w:fill="D9EAF7"/>
          </w:tcPr>
          <w:p w14:paraId="6D718C51" w14:textId="77777777" w:rsidR="00FF7522" w:rsidRDefault="00B3730D">
            <w:r>
              <w:rPr>
                <w:b/>
              </w:rPr>
              <w:t>Higher-Value</w:t>
            </w:r>
          </w:p>
        </w:tc>
        <w:tc>
          <w:tcPr>
            <w:tcW w:w="2628" w:type="dxa"/>
            <w:shd w:val="clear" w:color="auto" w:fill="D9EAF7"/>
          </w:tcPr>
          <w:p w14:paraId="682FDFB4" w14:textId="77777777" w:rsidR="00FF7522" w:rsidRDefault="00B3730D">
            <w:r>
              <w:rPr>
                <w:b/>
              </w:rPr>
              <w:t>Classification</w:t>
            </w:r>
          </w:p>
        </w:tc>
      </w:tr>
      <w:tr w:rsidR="00FF7522" w14:paraId="60E93B16" w14:textId="77777777">
        <w:tc>
          <w:tcPr>
            <w:tcW w:w="2628" w:type="dxa"/>
          </w:tcPr>
          <w:p w14:paraId="1C6B8796" w14:textId="77777777" w:rsidR="00FF7522" w:rsidRDefault="00B3730D">
            <w:r>
              <w:t>Investment benchmark</w:t>
            </w:r>
          </w:p>
        </w:tc>
        <w:tc>
          <w:tcPr>
            <w:tcW w:w="2628" w:type="dxa"/>
          </w:tcPr>
          <w:p w14:paraId="645A3DEC" w14:textId="77777777" w:rsidR="00FF7522" w:rsidRDefault="00B3730D">
            <w:r>
              <w:t>$10,565</w:t>
            </w:r>
          </w:p>
        </w:tc>
        <w:tc>
          <w:tcPr>
            <w:tcW w:w="2628" w:type="dxa"/>
          </w:tcPr>
          <w:p w14:paraId="39467C87" w14:textId="77777777" w:rsidR="00FF7522" w:rsidRDefault="00B3730D">
            <w:r>
              <w:t>$10,565</w:t>
            </w:r>
          </w:p>
        </w:tc>
        <w:tc>
          <w:tcPr>
            <w:tcW w:w="2628" w:type="dxa"/>
          </w:tcPr>
          <w:p w14:paraId="547AEFFB" w14:textId="77777777" w:rsidR="00FF7522" w:rsidRDefault="00B3730D">
            <w:r>
              <w:t>Internal benchmark from a live WFM automation solution</w:t>
            </w:r>
          </w:p>
        </w:tc>
      </w:tr>
      <w:tr w:rsidR="00FF7522" w14:paraId="1CC6EED3" w14:textId="77777777">
        <w:tc>
          <w:tcPr>
            <w:tcW w:w="2628" w:type="dxa"/>
          </w:tcPr>
          <w:p w14:paraId="083F1E3E" w14:textId="77777777" w:rsidR="00FF7522" w:rsidRDefault="00B3730D">
            <w:r>
              <w:t>Annual savings</w:t>
            </w:r>
          </w:p>
        </w:tc>
        <w:tc>
          <w:tcPr>
            <w:tcW w:w="2628" w:type="dxa"/>
          </w:tcPr>
          <w:p w14:paraId="5564FF6A" w14:textId="77777777" w:rsidR="00FF7522" w:rsidRDefault="00B3730D">
            <w:r>
              <w:t>$22,500</w:t>
            </w:r>
          </w:p>
        </w:tc>
        <w:tc>
          <w:tcPr>
            <w:tcW w:w="2628" w:type="dxa"/>
          </w:tcPr>
          <w:p w14:paraId="43F6A849" w14:textId="77777777" w:rsidR="00FF7522" w:rsidRDefault="00B3730D">
            <w:r>
              <w:t>$30,000</w:t>
            </w:r>
          </w:p>
        </w:tc>
        <w:tc>
          <w:tcPr>
            <w:tcW w:w="2628" w:type="dxa"/>
          </w:tcPr>
          <w:p w14:paraId="53029BBC" w14:textId="77777777" w:rsidR="00FF7522" w:rsidRDefault="00B3730D">
            <w:r>
              <w:t>Internal benchmark</w:t>
            </w:r>
          </w:p>
        </w:tc>
      </w:tr>
      <w:tr w:rsidR="00FF7522" w14:paraId="08FCE53F" w14:textId="77777777">
        <w:tc>
          <w:tcPr>
            <w:tcW w:w="2628" w:type="dxa"/>
          </w:tcPr>
          <w:p w14:paraId="32F4D119" w14:textId="77777777" w:rsidR="00FF7522" w:rsidRDefault="00B3730D">
            <w:r>
              <w:t>Hours saved per analyst per year</w:t>
            </w:r>
          </w:p>
        </w:tc>
        <w:tc>
          <w:tcPr>
            <w:tcW w:w="2628" w:type="dxa"/>
          </w:tcPr>
          <w:p w14:paraId="336A3AF0" w14:textId="77777777" w:rsidR="00FF7522" w:rsidRDefault="00B3730D">
            <w:r>
              <w:t>375</w:t>
            </w:r>
          </w:p>
        </w:tc>
        <w:tc>
          <w:tcPr>
            <w:tcW w:w="2628" w:type="dxa"/>
          </w:tcPr>
          <w:p w14:paraId="5B060510" w14:textId="77777777" w:rsidR="00FF7522" w:rsidRDefault="00B3730D">
            <w:r>
              <w:t>500</w:t>
            </w:r>
          </w:p>
        </w:tc>
        <w:tc>
          <w:tcPr>
            <w:tcW w:w="2628" w:type="dxa"/>
          </w:tcPr>
          <w:p w14:paraId="42820149" w14:textId="77777777" w:rsidR="00FF7522" w:rsidRDefault="00B3730D">
            <w:r>
              <w:t>Internal benchmark</w:t>
            </w:r>
          </w:p>
        </w:tc>
      </w:tr>
      <w:tr w:rsidR="00FF7522" w14:paraId="1ACACBA0" w14:textId="77777777">
        <w:tc>
          <w:tcPr>
            <w:tcW w:w="2628" w:type="dxa"/>
          </w:tcPr>
          <w:p w14:paraId="352113B4" w14:textId="77777777" w:rsidR="00FF7522" w:rsidRDefault="00B3730D">
            <w:r>
              <w:t>Hours saved for 3-person team</w:t>
            </w:r>
          </w:p>
        </w:tc>
        <w:tc>
          <w:tcPr>
            <w:tcW w:w="2628" w:type="dxa"/>
          </w:tcPr>
          <w:p w14:paraId="2FD8F3BA" w14:textId="77777777" w:rsidR="00FF7522" w:rsidRDefault="00B3730D">
            <w:r>
              <w:t>1,125</w:t>
            </w:r>
          </w:p>
        </w:tc>
        <w:tc>
          <w:tcPr>
            <w:tcW w:w="2628" w:type="dxa"/>
          </w:tcPr>
          <w:p w14:paraId="434C4DB4" w14:textId="77777777" w:rsidR="00FF7522" w:rsidRDefault="00B3730D">
            <w:r>
              <w:t>1,500</w:t>
            </w:r>
          </w:p>
        </w:tc>
        <w:tc>
          <w:tcPr>
            <w:tcW w:w="2628" w:type="dxa"/>
          </w:tcPr>
          <w:p w14:paraId="345D7E20" w14:textId="77777777" w:rsidR="00FF7522" w:rsidRDefault="00B3730D">
            <w:r>
              <w:t>Calculated from benchmark</w:t>
            </w:r>
          </w:p>
        </w:tc>
      </w:tr>
      <w:tr w:rsidR="00FF7522" w14:paraId="5949297B" w14:textId="77777777">
        <w:tc>
          <w:tcPr>
            <w:tcW w:w="2628" w:type="dxa"/>
          </w:tcPr>
          <w:p w14:paraId="67B1992D" w14:textId="77777777" w:rsidR="00FF7522" w:rsidRDefault="00B3730D">
            <w:r>
              <w:t>Equivalent positions (FTE at 2,080 hrs/year)</w:t>
            </w:r>
          </w:p>
        </w:tc>
        <w:tc>
          <w:tcPr>
            <w:tcW w:w="2628" w:type="dxa"/>
          </w:tcPr>
          <w:p w14:paraId="2F24F91B" w14:textId="77777777" w:rsidR="00FF7522" w:rsidRDefault="00B3730D">
            <w:r>
              <w:t>0.54 FTE</w:t>
            </w:r>
          </w:p>
        </w:tc>
        <w:tc>
          <w:tcPr>
            <w:tcW w:w="2628" w:type="dxa"/>
          </w:tcPr>
          <w:p w14:paraId="6262900F" w14:textId="77777777" w:rsidR="00FF7522" w:rsidRDefault="00B3730D">
            <w:r>
              <w:t>0.72 FTE</w:t>
            </w:r>
          </w:p>
        </w:tc>
        <w:tc>
          <w:tcPr>
            <w:tcW w:w="2628" w:type="dxa"/>
          </w:tcPr>
          <w:p w14:paraId="7B1941C3" w14:textId="77777777" w:rsidR="00FF7522" w:rsidRDefault="00B3730D">
            <w:r>
              <w:t>Calculated from benchmark</w:t>
            </w:r>
          </w:p>
        </w:tc>
      </w:tr>
      <w:tr w:rsidR="00FF7522" w14:paraId="0526FB93" w14:textId="77777777">
        <w:tc>
          <w:tcPr>
            <w:tcW w:w="2628" w:type="dxa"/>
          </w:tcPr>
          <w:p w14:paraId="445BD908" w14:textId="77777777" w:rsidR="00FF7522" w:rsidRDefault="00B3730D">
            <w:r>
              <w:t>Year 1 ROI</w:t>
            </w:r>
          </w:p>
        </w:tc>
        <w:tc>
          <w:tcPr>
            <w:tcW w:w="2628" w:type="dxa"/>
          </w:tcPr>
          <w:p w14:paraId="102D6361" w14:textId="77777777" w:rsidR="00FF7522" w:rsidRDefault="00B3730D">
            <w:r>
              <w:t>94%</w:t>
            </w:r>
          </w:p>
        </w:tc>
        <w:tc>
          <w:tcPr>
            <w:tcW w:w="2628" w:type="dxa"/>
          </w:tcPr>
          <w:p w14:paraId="05B0986A" w14:textId="77777777" w:rsidR="00FF7522" w:rsidRDefault="00B3730D">
            <w:r>
              <w:t>165%</w:t>
            </w:r>
          </w:p>
        </w:tc>
        <w:tc>
          <w:tcPr>
            <w:tcW w:w="2628" w:type="dxa"/>
          </w:tcPr>
          <w:p w14:paraId="4214B567" w14:textId="77777777" w:rsidR="00FF7522" w:rsidRDefault="00B3730D">
            <w:r>
              <w:t>Internal benchmark</w:t>
            </w:r>
          </w:p>
        </w:tc>
      </w:tr>
      <w:tr w:rsidR="00FF7522" w14:paraId="677769FB" w14:textId="77777777">
        <w:tc>
          <w:tcPr>
            <w:tcW w:w="2628" w:type="dxa"/>
          </w:tcPr>
          <w:p w14:paraId="73C0C149" w14:textId="77777777" w:rsidR="00FF7522" w:rsidRDefault="00B3730D">
            <w:r>
              <w:t>Payback period</w:t>
            </w:r>
          </w:p>
        </w:tc>
        <w:tc>
          <w:tcPr>
            <w:tcW w:w="2628" w:type="dxa"/>
          </w:tcPr>
          <w:p w14:paraId="7BE79774" w14:textId="77777777" w:rsidR="00FF7522" w:rsidRDefault="00B3730D">
            <w:r>
              <w:t>~6 months</w:t>
            </w:r>
          </w:p>
        </w:tc>
        <w:tc>
          <w:tcPr>
            <w:tcW w:w="2628" w:type="dxa"/>
          </w:tcPr>
          <w:p w14:paraId="5B0C2DCA" w14:textId="77777777" w:rsidR="00FF7522" w:rsidRDefault="00B3730D">
            <w:r>
              <w:t>~4 months</w:t>
            </w:r>
          </w:p>
        </w:tc>
        <w:tc>
          <w:tcPr>
            <w:tcW w:w="2628" w:type="dxa"/>
          </w:tcPr>
          <w:p w14:paraId="1C21650F" w14:textId="77777777" w:rsidR="00FF7522" w:rsidRDefault="00B3730D">
            <w:r>
              <w:t>Internal benchmark</w:t>
            </w:r>
          </w:p>
        </w:tc>
      </w:tr>
      <w:tr w:rsidR="00FF7522" w14:paraId="71715429" w14:textId="77777777">
        <w:tc>
          <w:tcPr>
            <w:tcW w:w="2628" w:type="dxa"/>
          </w:tcPr>
          <w:p w14:paraId="07C00E95" w14:textId="77777777" w:rsidR="00FF7522" w:rsidRDefault="00B3730D">
            <w:r>
              <w:t>3-year net benefit</w:t>
            </w:r>
          </w:p>
        </w:tc>
        <w:tc>
          <w:tcPr>
            <w:tcW w:w="2628" w:type="dxa"/>
          </w:tcPr>
          <w:p w14:paraId="4C1CAE41" w14:textId="77777777" w:rsidR="00FF7522" w:rsidRDefault="00B3730D">
            <w:r>
              <w:t>$50,935</w:t>
            </w:r>
          </w:p>
        </w:tc>
        <w:tc>
          <w:tcPr>
            <w:tcW w:w="2628" w:type="dxa"/>
          </w:tcPr>
          <w:p w14:paraId="4DFA7FA6" w14:textId="77777777" w:rsidR="00FF7522" w:rsidRDefault="00B3730D">
            <w:r>
              <w:t>$73,435</w:t>
            </w:r>
          </w:p>
        </w:tc>
        <w:tc>
          <w:tcPr>
            <w:tcW w:w="2628" w:type="dxa"/>
          </w:tcPr>
          <w:p w14:paraId="7B6933BD" w14:textId="77777777" w:rsidR="00FF7522" w:rsidRDefault="00B3730D">
            <w:r>
              <w:t>Internal benchmark</w:t>
            </w:r>
          </w:p>
        </w:tc>
      </w:tr>
      <w:tr w:rsidR="00FF7522" w14:paraId="5655D0CB" w14:textId="77777777">
        <w:tc>
          <w:tcPr>
            <w:tcW w:w="2628" w:type="dxa"/>
          </w:tcPr>
          <w:p w14:paraId="7EA8D84B" w14:textId="77777777" w:rsidR="00FF7522" w:rsidRDefault="00B3730D">
            <w:r>
              <w:t>Manual WFM process reduction</w:t>
            </w:r>
          </w:p>
        </w:tc>
        <w:tc>
          <w:tcPr>
            <w:tcW w:w="2628" w:type="dxa"/>
          </w:tcPr>
          <w:p w14:paraId="1B7D176F" w14:textId="77777777" w:rsidR="00FF7522" w:rsidRDefault="00B3730D">
            <w:r>
              <w:t>40%+</w:t>
            </w:r>
          </w:p>
        </w:tc>
        <w:tc>
          <w:tcPr>
            <w:tcW w:w="2628" w:type="dxa"/>
          </w:tcPr>
          <w:p w14:paraId="28950ED4" w14:textId="77777777" w:rsidR="00FF7522" w:rsidRDefault="00B3730D">
            <w:r>
              <w:t>40%+</w:t>
            </w:r>
          </w:p>
        </w:tc>
        <w:tc>
          <w:tcPr>
            <w:tcW w:w="2628" w:type="dxa"/>
          </w:tcPr>
          <w:p w14:paraId="0996BA8A" w14:textId="77777777" w:rsidR="00FF7522" w:rsidRDefault="00B3730D">
            <w:r>
              <w:t>Internal benchmark</w:t>
            </w:r>
          </w:p>
        </w:tc>
      </w:tr>
      <w:tr w:rsidR="00FF7522" w14:paraId="285D52DF" w14:textId="77777777">
        <w:tc>
          <w:tcPr>
            <w:tcW w:w="2628" w:type="dxa"/>
          </w:tcPr>
          <w:p w14:paraId="30682349" w14:textId="77777777" w:rsidR="00FF7522" w:rsidRDefault="00B3730D">
            <w:r>
              <w:t>Recovered productive hours</w:t>
            </w:r>
          </w:p>
        </w:tc>
        <w:tc>
          <w:tcPr>
            <w:tcW w:w="2628" w:type="dxa"/>
          </w:tcPr>
          <w:p w14:paraId="29AEC6E7" w14:textId="77777777" w:rsidR="00FF7522" w:rsidRDefault="00B3730D">
            <w:r>
              <w:t>4,100+ hrs / quarter</w:t>
            </w:r>
          </w:p>
        </w:tc>
        <w:tc>
          <w:tcPr>
            <w:tcW w:w="2628" w:type="dxa"/>
          </w:tcPr>
          <w:p w14:paraId="789ED23A" w14:textId="77777777" w:rsidR="00FF7522" w:rsidRDefault="00B3730D">
            <w:r>
              <w:t>4,100+ hrs / quarter</w:t>
            </w:r>
          </w:p>
        </w:tc>
        <w:tc>
          <w:tcPr>
            <w:tcW w:w="2628" w:type="dxa"/>
          </w:tcPr>
          <w:p w14:paraId="49C3A343" w14:textId="77777777" w:rsidR="00FF7522" w:rsidRDefault="00B3730D">
            <w:r>
              <w:t>Internal benchmark from staffing optimization case</w:t>
            </w:r>
          </w:p>
        </w:tc>
      </w:tr>
    </w:tbl>
    <w:p w14:paraId="08059ABB" w14:textId="77777777" w:rsidR="00FF7522" w:rsidRDefault="00B3730D">
      <w:r>
        <w:t>Interpretation: if the onboarding workflow achieves even the conservative end of the internal WFM automation benchmark, the organization recovers more than one thousand hours per year for a 3-person analyst team and effectively frees between 0.54 and 0.72 full-time equivalent capacity without adding headcount.</w:t>
      </w:r>
    </w:p>
    <w:p w14:paraId="764254E5" w14:textId="77777777" w:rsidR="00FF7522" w:rsidRDefault="00B3730D">
      <w:pPr>
        <w:pStyle w:val="Heading1"/>
      </w:pPr>
      <w:r>
        <w:t>2. Process Basis Used for This ROI</w:t>
      </w:r>
    </w:p>
    <w:p w14:paraId="79033E7F" w14:textId="77777777" w:rsidR="00FF7522" w:rsidRDefault="00B3730D">
      <w:r>
        <w:t>The current process design reflected in the workflow and meeting notes is based on the following logic:</w:t>
      </w:r>
    </w:p>
    <w:p w14:paraId="2A84EBB6" w14:textId="77777777" w:rsidR="00FF7522" w:rsidRDefault="00B3730D">
      <w:pPr>
        <w:pStyle w:val="ListBullet"/>
      </w:pPr>
      <w:r>
        <w:t>The vendor sends roster information that is placed in a SharePoint folder.</w:t>
      </w:r>
    </w:p>
    <w:p w14:paraId="77BB1E59" w14:textId="77777777" w:rsidR="00FF7522" w:rsidRDefault="00B3730D">
      <w:pPr>
        <w:pStyle w:val="ListBullet"/>
      </w:pPr>
      <w:r>
        <w:t>The folder triggers an automated flow that updates the SharePoint roster and sends alerts in parallel to the teams responsible for profile creation.</w:t>
      </w:r>
    </w:p>
    <w:p w14:paraId="766A0159" w14:textId="77777777" w:rsidR="00FF7522" w:rsidRDefault="00B3730D">
      <w:pPr>
        <w:pStyle w:val="ListBullet"/>
      </w:pPr>
      <w:r>
        <w:t>A human validation checkpoint remains mandatory because automation does not eliminate the need to verify completeness and format correctness.</w:t>
      </w:r>
    </w:p>
    <w:p w14:paraId="35CFEB0F" w14:textId="77777777" w:rsidR="00FF7522" w:rsidRDefault="00B3730D">
      <w:pPr>
        <w:pStyle w:val="ListBullet"/>
      </w:pPr>
      <w:r>
        <w:t>The workflow is intended to support larger groups (for example classes of 15–20 people) instead of repeated fully manual profile setup.</w:t>
      </w:r>
    </w:p>
    <w:p w14:paraId="2A6D54F3" w14:textId="77777777" w:rsidR="00FF7522" w:rsidRDefault="00B3730D">
      <w:pPr>
        <w:pStyle w:val="ListBullet"/>
      </w:pPr>
      <w:r>
        <w:t>The process objective is to keep an accurate headcount and support centralized ownership rather than fragmented ownership.</w:t>
      </w:r>
    </w:p>
    <w:p w14:paraId="4691FEFB" w14:textId="77777777" w:rsidR="00FF7522" w:rsidRDefault="00B3730D">
      <w:r>
        <w:t>Operational controls visible in the workflow design include:</w:t>
      </w:r>
    </w:p>
    <w:p w14:paraId="0E6101A5" w14:textId="77777777" w:rsidR="00FF7522" w:rsidRDefault="00B3730D">
      <w:pPr>
        <w:pStyle w:val="ListBullet"/>
      </w:pPr>
      <w:r>
        <w:t>Standardized roster template usage</w:t>
      </w:r>
    </w:p>
    <w:p w14:paraId="0A54A5B7" w14:textId="77777777" w:rsidR="00FF7522" w:rsidRDefault="00B3730D">
      <w:pPr>
        <w:pStyle w:val="ListBullet"/>
      </w:pPr>
      <w:r>
        <w:t>Validation for completeness and correct structure</w:t>
      </w:r>
    </w:p>
    <w:p w14:paraId="5F8AC38B" w14:textId="77777777" w:rsidR="00FF7522" w:rsidRDefault="00B3730D">
      <w:pPr>
        <w:pStyle w:val="ListBullet"/>
      </w:pPr>
      <w:r>
        <w:t>Duplicate prevention</w:t>
      </w:r>
    </w:p>
    <w:p w14:paraId="4858252E" w14:textId="77777777" w:rsidR="00FF7522" w:rsidRDefault="00B3730D">
      <w:pPr>
        <w:pStyle w:val="ListBullet"/>
      </w:pPr>
      <w:r>
        <w:t>Records archived rather than deleted</w:t>
      </w:r>
    </w:p>
    <w:p w14:paraId="232DAEAB" w14:textId="77777777" w:rsidR="00FF7522" w:rsidRDefault="00B3730D">
      <w:pPr>
        <w:pStyle w:val="ListBullet"/>
      </w:pPr>
      <w:r>
        <w:t>Parallel alerts plus data update</w:t>
      </w:r>
    </w:p>
    <w:p w14:paraId="421CB0AC" w14:textId="77777777" w:rsidR="00FF7522" w:rsidRDefault="00B3730D">
      <w:pPr>
        <w:pStyle w:val="ListBullet"/>
      </w:pPr>
      <w:r>
        <w:t>Central monitoring and governance</w:t>
      </w:r>
    </w:p>
    <w:p w14:paraId="1DB6A82E" w14:textId="77777777" w:rsidR="00FF7522" w:rsidRDefault="00B3730D">
      <w:pPr>
        <w:pStyle w:val="Heading1"/>
      </w:pPr>
      <w:r>
        <w:lastRenderedPageBreak/>
        <w:t>3. Roles, Responsibilities, and Economic Ownership</w:t>
      </w:r>
    </w:p>
    <w:tbl>
      <w:tblPr>
        <w:tblStyle w:val="TableGrid"/>
        <w:tblW w:w="0" w:type="auto"/>
        <w:tblLook w:val="04A0" w:firstRow="1" w:lastRow="0" w:firstColumn="1" w:lastColumn="0" w:noHBand="0" w:noVBand="1"/>
      </w:tblPr>
      <w:tblGrid>
        <w:gridCol w:w="2625"/>
        <w:gridCol w:w="2626"/>
        <w:gridCol w:w="2626"/>
        <w:gridCol w:w="2625"/>
      </w:tblGrid>
      <w:tr w:rsidR="00FF7522" w14:paraId="319A875B" w14:textId="77777777">
        <w:tc>
          <w:tcPr>
            <w:tcW w:w="2628" w:type="dxa"/>
            <w:shd w:val="clear" w:color="auto" w:fill="D9EAF7"/>
          </w:tcPr>
          <w:p w14:paraId="755A8F90" w14:textId="77777777" w:rsidR="00FF7522" w:rsidRDefault="00B3730D">
            <w:r>
              <w:rPr>
                <w:b/>
              </w:rPr>
              <w:t>Role / Team</w:t>
            </w:r>
          </w:p>
        </w:tc>
        <w:tc>
          <w:tcPr>
            <w:tcW w:w="2628" w:type="dxa"/>
            <w:shd w:val="clear" w:color="auto" w:fill="D9EAF7"/>
          </w:tcPr>
          <w:p w14:paraId="14B7547C" w14:textId="77777777" w:rsidR="00FF7522" w:rsidRDefault="00B3730D">
            <w:r>
              <w:rPr>
                <w:b/>
              </w:rPr>
              <w:t>Primary responsibility</w:t>
            </w:r>
          </w:p>
        </w:tc>
        <w:tc>
          <w:tcPr>
            <w:tcW w:w="2628" w:type="dxa"/>
            <w:shd w:val="clear" w:color="auto" w:fill="D9EAF7"/>
          </w:tcPr>
          <w:p w14:paraId="589F100D" w14:textId="77777777" w:rsidR="00FF7522" w:rsidRDefault="00B3730D">
            <w:r>
              <w:rPr>
                <w:b/>
              </w:rPr>
              <w:t>Economic impact owner</w:t>
            </w:r>
          </w:p>
        </w:tc>
        <w:tc>
          <w:tcPr>
            <w:tcW w:w="2628" w:type="dxa"/>
            <w:shd w:val="clear" w:color="auto" w:fill="D9EAF7"/>
          </w:tcPr>
          <w:p w14:paraId="012AA4DB" w14:textId="77777777" w:rsidR="00FF7522" w:rsidRDefault="00B3730D">
            <w:r>
              <w:rPr>
                <w:b/>
              </w:rPr>
              <w:t>Why it matters financially</w:t>
            </w:r>
          </w:p>
        </w:tc>
      </w:tr>
      <w:tr w:rsidR="00FF7522" w14:paraId="2C5A9CF2" w14:textId="77777777">
        <w:tc>
          <w:tcPr>
            <w:tcW w:w="2628" w:type="dxa"/>
          </w:tcPr>
          <w:p w14:paraId="0F88AF13" w14:textId="77777777" w:rsidR="00FF7522" w:rsidRDefault="00B3730D">
            <w:r>
              <w:t>KP WFM</w:t>
            </w:r>
          </w:p>
        </w:tc>
        <w:tc>
          <w:tcPr>
            <w:tcW w:w="2628" w:type="dxa"/>
          </w:tcPr>
          <w:p w14:paraId="634EF4C7" w14:textId="77777777" w:rsidR="00FF7522" w:rsidRDefault="00B3730D">
            <w:r>
              <w:t>Demand planning, governance, validation, monitoring, KPI ownership</w:t>
            </w:r>
          </w:p>
        </w:tc>
        <w:tc>
          <w:tcPr>
            <w:tcW w:w="2628" w:type="dxa"/>
          </w:tcPr>
          <w:p w14:paraId="663849F8" w14:textId="77777777" w:rsidR="00FF7522" w:rsidRDefault="00B3730D">
            <w:r>
              <w:t>Owns benefit realization</w:t>
            </w:r>
          </w:p>
        </w:tc>
        <w:tc>
          <w:tcPr>
            <w:tcW w:w="2628" w:type="dxa"/>
          </w:tcPr>
          <w:p w14:paraId="01B90ED0" w14:textId="77777777" w:rsidR="00FF7522" w:rsidRDefault="00B3730D">
            <w:r>
              <w:t>Controls how capacity savings are converted into labor value, service stability, and reduced rework</w:t>
            </w:r>
          </w:p>
        </w:tc>
      </w:tr>
      <w:tr w:rsidR="00FF7522" w14:paraId="2D81ED40" w14:textId="77777777">
        <w:tc>
          <w:tcPr>
            <w:tcW w:w="2628" w:type="dxa"/>
          </w:tcPr>
          <w:p w14:paraId="45C39ED5" w14:textId="77777777" w:rsidR="00FF7522" w:rsidRDefault="00B3730D">
            <w:r>
              <w:t>HCL WFM</w:t>
            </w:r>
          </w:p>
        </w:tc>
        <w:tc>
          <w:tcPr>
            <w:tcW w:w="2628" w:type="dxa"/>
          </w:tcPr>
          <w:p w14:paraId="03C84BAA" w14:textId="77777777" w:rsidR="00FF7522" w:rsidRDefault="00B3730D">
            <w:r>
              <w:t>IEX configuration, standards enforcement, centralized model</w:t>
            </w:r>
          </w:p>
        </w:tc>
        <w:tc>
          <w:tcPr>
            <w:tcW w:w="2628" w:type="dxa"/>
          </w:tcPr>
          <w:p w14:paraId="20BE4DCC" w14:textId="77777777" w:rsidR="00FF7522" w:rsidRDefault="00B3730D">
            <w:r>
              <w:t>Owns standardization benefit</w:t>
            </w:r>
          </w:p>
        </w:tc>
        <w:tc>
          <w:tcPr>
            <w:tcW w:w="2628" w:type="dxa"/>
          </w:tcPr>
          <w:p w14:paraId="3EB6344F" w14:textId="77777777" w:rsidR="00FF7522" w:rsidRDefault="00B3730D">
            <w:r>
              <w:t>Reduces variation, duplicate work, and shadow-tool cost</w:t>
            </w:r>
          </w:p>
        </w:tc>
      </w:tr>
      <w:tr w:rsidR="00FF7522" w14:paraId="0891B64A" w14:textId="77777777">
        <w:tc>
          <w:tcPr>
            <w:tcW w:w="2628" w:type="dxa"/>
          </w:tcPr>
          <w:p w14:paraId="5F313E10" w14:textId="77777777" w:rsidR="00FF7522" w:rsidRDefault="00B3730D">
            <w:r>
              <w:t>Vendor teams</w:t>
            </w:r>
          </w:p>
        </w:tc>
        <w:tc>
          <w:tcPr>
            <w:tcW w:w="2628" w:type="dxa"/>
          </w:tcPr>
          <w:p w14:paraId="4466AE28" w14:textId="77777777" w:rsidR="00FF7522" w:rsidRDefault="00B3730D">
            <w:r>
              <w:t>Roster submission and upstream data quality</w:t>
            </w:r>
          </w:p>
        </w:tc>
        <w:tc>
          <w:tcPr>
            <w:tcW w:w="2628" w:type="dxa"/>
          </w:tcPr>
          <w:p w14:paraId="44BA6B68" w14:textId="77777777" w:rsidR="00FF7522" w:rsidRDefault="00B3730D">
            <w:r>
              <w:t>Primary source of avoidable defects</w:t>
            </w:r>
          </w:p>
        </w:tc>
        <w:tc>
          <w:tcPr>
            <w:tcW w:w="2628" w:type="dxa"/>
          </w:tcPr>
          <w:p w14:paraId="373A9C21" w14:textId="77777777" w:rsidR="00FF7522" w:rsidRDefault="00B3730D">
            <w:r>
              <w:t>Poor data quality creates delays, rework, and configuration defects</w:t>
            </w:r>
          </w:p>
        </w:tc>
      </w:tr>
      <w:tr w:rsidR="00FF7522" w14:paraId="41257AB2" w14:textId="77777777">
        <w:tc>
          <w:tcPr>
            <w:tcW w:w="2628" w:type="dxa"/>
          </w:tcPr>
          <w:p w14:paraId="136B533C" w14:textId="77777777" w:rsidR="00FF7522" w:rsidRDefault="00B3730D">
            <w:r>
              <w:t>IAM / Access Management</w:t>
            </w:r>
          </w:p>
        </w:tc>
        <w:tc>
          <w:tcPr>
            <w:tcW w:w="2628" w:type="dxa"/>
          </w:tcPr>
          <w:p w14:paraId="14D5E1BB" w14:textId="77777777" w:rsidR="00FF7522" w:rsidRDefault="00B3730D">
            <w:r>
              <w:t>Worker creation, profile provisioning, access readiness</w:t>
            </w:r>
          </w:p>
        </w:tc>
        <w:tc>
          <w:tcPr>
            <w:tcW w:w="2628" w:type="dxa"/>
          </w:tcPr>
          <w:p w14:paraId="17CFB1A4" w14:textId="77777777" w:rsidR="00FF7522" w:rsidRDefault="00B3730D">
            <w:r>
              <w:t>Owns cycle-time impact</w:t>
            </w:r>
          </w:p>
        </w:tc>
        <w:tc>
          <w:tcPr>
            <w:tcW w:w="2628" w:type="dxa"/>
          </w:tcPr>
          <w:p w14:paraId="38BD5FD4" w14:textId="77777777" w:rsidR="00FF7522" w:rsidRDefault="00B3730D">
            <w:r>
              <w:t>Faster provisioning reduces start delays and operational friction</w:t>
            </w:r>
          </w:p>
        </w:tc>
      </w:tr>
      <w:tr w:rsidR="00FF7522" w14:paraId="7D5AFE35" w14:textId="77777777">
        <w:tc>
          <w:tcPr>
            <w:tcW w:w="2628" w:type="dxa"/>
          </w:tcPr>
          <w:p w14:paraId="05EDED29" w14:textId="77777777" w:rsidR="00FF7522" w:rsidRDefault="00B3730D">
            <w:r>
              <w:t>IT / Systems / Power Platform</w:t>
            </w:r>
          </w:p>
        </w:tc>
        <w:tc>
          <w:tcPr>
            <w:tcW w:w="2628" w:type="dxa"/>
          </w:tcPr>
          <w:p w14:paraId="2A783A0A" w14:textId="77777777" w:rsidR="00FF7522" w:rsidRDefault="00B3730D">
            <w:r>
              <w:t>Automation, integrations, logging, support</w:t>
            </w:r>
          </w:p>
        </w:tc>
        <w:tc>
          <w:tcPr>
            <w:tcW w:w="2628" w:type="dxa"/>
          </w:tcPr>
          <w:p w14:paraId="0BAEEDC5" w14:textId="77777777" w:rsidR="00FF7522" w:rsidRDefault="00B3730D">
            <w:r>
              <w:t>Owns technical efficiency</w:t>
            </w:r>
          </w:p>
        </w:tc>
        <w:tc>
          <w:tcPr>
            <w:tcW w:w="2628" w:type="dxa"/>
          </w:tcPr>
          <w:p w14:paraId="605F55BC" w14:textId="77777777" w:rsidR="00FF7522" w:rsidRDefault="00B3730D">
            <w:r>
              <w:t>Stable automation lowers recurring manual labor and defect correction work</w:t>
            </w:r>
          </w:p>
        </w:tc>
      </w:tr>
      <w:tr w:rsidR="00FF7522" w14:paraId="240ED319" w14:textId="77777777">
        <w:tc>
          <w:tcPr>
            <w:tcW w:w="2628" w:type="dxa"/>
          </w:tcPr>
          <w:p w14:paraId="5C925EC2" w14:textId="77777777" w:rsidR="00FF7522" w:rsidRDefault="00B3730D">
            <w:r>
              <w:t>NICE IEX / Platform team</w:t>
            </w:r>
          </w:p>
        </w:tc>
        <w:tc>
          <w:tcPr>
            <w:tcW w:w="2628" w:type="dxa"/>
          </w:tcPr>
          <w:p w14:paraId="7005685F" w14:textId="77777777" w:rsidR="00FF7522" w:rsidRDefault="00B3730D">
            <w:r>
              <w:t>Configuration, entity setup, profile ingestion</w:t>
            </w:r>
          </w:p>
        </w:tc>
        <w:tc>
          <w:tcPr>
            <w:tcW w:w="2628" w:type="dxa"/>
          </w:tcPr>
          <w:p w14:paraId="255BDC79" w14:textId="77777777" w:rsidR="00FF7522" w:rsidRDefault="00B3730D">
            <w:r>
              <w:t>Owns platform enablement</w:t>
            </w:r>
          </w:p>
        </w:tc>
        <w:tc>
          <w:tcPr>
            <w:tcW w:w="2628" w:type="dxa"/>
          </w:tcPr>
          <w:p w14:paraId="2CFAB310" w14:textId="77777777" w:rsidR="00FF7522" w:rsidRDefault="00B3730D">
            <w:r>
              <w:t>Correct setup is required before bulk creation can scale safely</w:t>
            </w:r>
          </w:p>
        </w:tc>
      </w:tr>
    </w:tbl>
    <w:p w14:paraId="66A857DA" w14:textId="77777777" w:rsidR="00FF7522" w:rsidRDefault="00B3730D">
      <w:pPr>
        <w:pStyle w:val="Heading1"/>
      </w:pPr>
      <w:r>
        <w:t>4. Quantified ROI by Benefit Category</w:t>
      </w:r>
    </w:p>
    <w:p w14:paraId="2BEEC325" w14:textId="77777777" w:rsidR="00FF7522" w:rsidRDefault="00B3730D">
      <w:pPr>
        <w:pStyle w:val="Heading2"/>
      </w:pPr>
      <w:r>
        <w:t>4.1 Labor Time Savings</w:t>
      </w:r>
    </w:p>
    <w:p w14:paraId="37A808F9" w14:textId="77777777" w:rsidR="00FF7522" w:rsidRDefault="00B3730D">
      <w:r>
        <w:t>Internal WFM automation results already documented in production show 375–500 hours saved per analyst per year and direct annual savings of $22,500–$30,000 for a 3-person team. Using the same benchmark logic, a 3-person onboarding/administrative analyst team would recover 1,125–1,500 hours per year. Using a standard 2,080-hour work year, that equals 0.54–0.72 FTE of capacity released for higher-value work.</w:t>
      </w:r>
    </w:p>
    <w:tbl>
      <w:tblPr>
        <w:tblStyle w:val="TableGrid"/>
        <w:tblW w:w="0" w:type="auto"/>
        <w:tblLook w:val="04A0" w:firstRow="1" w:lastRow="0" w:firstColumn="1" w:lastColumn="0" w:noHBand="0" w:noVBand="1"/>
      </w:tblPr>
      <w:tblGrid>
        <w:gridCol w:w="2100"/>
        <w:gridCol w:w="2100"/>
        <w:gridCol w:w="2101"/>
        <w:gridCol w:w="2101"/>
        <w:gridCol w:w="2100"/>
      </w:tblGrid>
      <w:tr w:rsidR="00FF7522" w14:paraId="76DDC9A3" w14:textId="77777777">
        <w:tc>
          <w:tcPr>
            <w:tcW w:w="2102" w:type="dxa"/>
            <w:shd w:val="clear" w:color="auto" w:fill="D9EAF7"/>
          </w:tcPr>
          <w:p w14:paraId="06953441" w14:textId="77777777" w:rsidR="00FF7522" w:rsidRDefault="00B3730D">
            <w:r>
              <w:rPr>
                <w:b/>
              </w:rPr>
              <w:t>Benefit item</w:t>
            </w:r>
          </w:p>
        </w:tc>
        <w:tc>
          <w:tcPr>
            <w:tcW w:w="2102" w:type="dxa"/>
            <w:shd w:val="clear" w:color="auto" w:fill="D9EAF7"/>
          </w:tcPr>
          <w:p w14:paraId="6D3D45CB" w14:textId="77777777" w:rsidR="00FF7522" w:rsidRDefault="00B3730D">
            <w:r>
              <w:rPr>
                <w:b/>
              </w:rPr>
              <w:t>Value</w:t>
            </w:r>
          </w:p>
        </w:tc>
        <w:tc>
          <w:tcPr>
            <w:tcW w:w="2102" w:type="dxa"/>
            <w:shd w:val="clear" w:color="auto" w:fill="D9EAF7"/>
          </w:tcPr>
          <w:p w14:paraId="0A935435" w14:textId="77777777" w:rsidR="00FF7522" w:rsidRDefault="00B3730D">
            <w:r>
              <w:rPr>
                <w:b/>
              </w:rPr>
              <w:t>How computed</w:t>
            </w:r>
          </w:p>
        </w:tc>
        <w:tc>
          <w:tcPr>
            <w:tcW w:w="2102" w:type="dxa"/>
            <w:shd w:val="clear" w:color="auto" w:fill="D9EAF7"/>
          </w:tcPr>
          <w:p w14:paraId="44ADAAF7" w14:textId="77777777" w:rsidR="00FF7522" w:rsidRDefault="00B3730D">
            <w:r>
              <w:rPr>
                <w:b/>
              </w:rPr>
              <w:t>Use in this document</w:t>
            </w:r>
          </w:p>
        </w:tc>
        <w:tc>
          <w:tcPr>
            <w:tcW w:w="2102" w:type="dxa"/>
            <w:shd w:val="clear" w:color="auto" w:fill="D9EAF7"/>
          </w:tcPr>
          <w:p w14:paraId="13AB11A4" w14:textId="77777777" w:rsidR="00FF7522" w:rsidRDefault="00B3730D">
            <w:r>
              <w:rPr>
                <w:b/>
              </w:rPr>
              <w:t>Evidence type</w:t>
            </w:r>
          </w:p>
        </w:tc>
      </w:tr>
      <w:tr w:rsidR="00FF7522" w14:paraId="34702001" w14:textId="77777777">
        <w:tc>
          <w:tcPr>
            <w:tcW w:w="2102" w:type="dxa"/>
          </w:tcPr>
          <w:p w14:paraId="272863B5" w14:textId="77777777" w:rsidR="00FF7522" w:rsidRDefault="00B3730D">
            <w:r>
              <w:t>Hours saved per analyst/year</w:t>
            </w:r>
          </w:p>
        </w:tc>
        <w:tc>
          <w:tcPr>
            <w:tcW w:w="2102" w:type="dxa"/>
          </w:tcPr>
          <w:p w14:paraId="5931BE98" w14:textId="77777777" w:rsidR="00FF7522" w:rsidRDefault="00B3730D">
            <w:r>
              <w:t>375–500</w:t>
            </w:r>
          </w:p>
        </w:tc>
        <w:tc>
          <w:tcPr>
            <w:tcW w:w="2102" w:type="dxa"/>
          </w:tcPr>
          <w:p w14:paraId="419B463F" w14:textId="77777777" w:rsidR="00FF7522" w:rsidRDefault="00B3730D">
            <w:r>
              <w:t>Documented benchmark</w:t>
            </w:r>
          </w:p>
        </w:tc>
        <w:tc>
          <w:tcPr>
            <w:tcW w:w="2102" w:type="dxa"/>
          </w:tcPr>
          <w:p w14:paraId="67D05E65" w14:textId="77777777" w:rsidR="00FF7522" w:rsidRDefault="00B3730D">
            <w:r>
              <w:t>Direct benchmark for repetitive manual work removal</w:t>
            </w:r>
          </w:p>
        </w:tc>
        <w:tc>
          <w:tcPr>
            <w:tcW w:w="2102" w:type="dxa"/>
          </w:tcPr>
          <w:p w14:paraId="0BBB6F06" w14:textId="77777777" w:rsidR="00FF7522" w:rsidRDefault="00B3730D">
            <w:r>
              <w:t>Internal benchmark</w:t>
            </w:r>
          </w:p>
        </w:tc>
      </w:tr>
      <w:tr w:rsidR="00FF7522" w14:paraId="53DAD892" w14:textId="77777777">
        <w:tc>
          <w:tcPr>
            <w:tcW w:w="2102" w:type="dxa"/>
          </w:tcPr>
          <w:p w14:paraId="506CA2C4" w14:textId="77777777" w:rsidR="00FF7522" w:rsidRDefault="00B3730D">
            <w:r>
              <w:t>Team hours saved/year (3 analysts)</w:t>
            </w:r>
          </w:p>
        </w:tc>
        <w:tc>
          <w:tcPr>
            <w:tcW w:w="2102" w:type="dxa"/>
          </w:tcPr>
          <w:p w14:paraId="15B2D0D4" w14:textId="77777777" w:rsidR="00FF7522" w:rsidRDefault="00B3730D">
            <w:r>
              <w:t>1,125–1,500</w:t>
            </w:r>
          </w:p>
        </w:tc>
        <w:tc>
          <w:tcPr>
            <w:tcW w:w="2102" w:type="dxa"/>
          </w:tcPr>
          <w:p w14:paraId="007B7118" w14:textId="77777777" w:rsidR="00FF7522" w:rsidRDefault="00B3730D">
            <w:r>
              <w:t>375–500 × 3 analysts</w:t>
            </w:r>
          </w:p>
        </w:tc>
        <w:tc>
          <w:tcPr>
            <w:tcW w:w="2102" w:type="dxa"/>
          </w:tcPr>
          <w:p w14:paraId="408B9B18" w14:textId="77777777" w:rsidR="00FF7522" w:rsidRDefault="00B3730D">
            <w:r>
              <w:t>Modeled capacity for a small WFM admin team</w:t>
            </w:r>
          </w:p>
        </w:tc>
        <w:tc>
          <w:tcPr>
            <w:tcW w:w="2102" w:type="dxa"/>
          </w:tcPr>
          <w:p w14:paraId="30DD6541" w14:textId="77777777" w:rsidR="00FF7522" w:rsidRDefault="00B3730D">
            <w:r>
              <w:t>Calculated from benchmark</w:t>
            </w:r>
          </w:p>
        </w:tc>
      </w:tr>
      <w:tr w:rsidR="00FF7522" w14:paraId="0F6D0E00" w14:textId="77777777">
        <w:tc>
          <w:tcPr>
            <w:tcW w:w="2102" w:type="dxa"/>
          </w:tcPr>
          <w:p w14:paraId="43CE21B7" w14:textId="77777777" w:rsidR="00FF7522" w:rsidRDefault="00B3730D">
            <w:r>
              <w:t>Equivalent FTE capacity</w:t>
            </w:r>
          </w:p>
        </w:tc>
        <w:tc>
          <w:tcPr>
            <w:tcW w:w="2102" w:type="dxa"/>
          </w:tcPr>
          <w:p w14:paraId="29CD848C" w14:textId="77777777" w:rsidR="00FF7522" w:rsidRDefault="00B3730D">
            <w:r>
              <w:t>0.54–0.72</w:t>
            </w:r>
          </w:p>
        </w:tc>
        <w:tc>
          <w:tcPr>
            <w:tcW w:w="2102" w:type="dxa"/>
          </w:tcPr>
          <w:p w14:paraId="6FB83634" w14:textId="77777777" w:rsidR="00FF7522" w:rsidRDefault="00B3730D">
            <w:r>
              <w:t>team hours ÷ 2,080</w:t>
            </w:r>
          </w:p>
        </w:tc>
        <w:tc>
          <w:tcPr>
            <w:tcW w:w="2102" w:type="dxa"/>
          </w:tcPr>
          <w:p w14:paraId="57E117AE" w14:textId="77777777" w:rsidR="00FF7522" w:rsidRDefault="00B3730D">
            <w:r>
              <w:t>Position-equivalent capacity released</w:t>
            </w:r>
          </w:p>
        </w:tc>
        <w:tc>
          <w:tcPr>
            <w:tcW w:w="2102" w:type="dxa"/>
          </w:tcPr>
          <w:p w14:paraId="45AE92A6" w14:textId="77777777" w:rsidR="00FF7522" w:rsidRDefault="00B3730D">
            <w:r>
              <w:t>Calculated from benchmark</w:t>
            </w:r>
          </w:p>
        </w:tc>
      </w:tr>
      <w:tr w:rsidR="00FF7522" w14:paraId="263A5B8E" w14:textId="77777777">
        <w:tc>
          <w:tcPr>
            <w:tcW w:w="2102" w:type="dxa"/>
          </w:tcPr>
          <w:p w14:paraId="2EB15891" w14:textId="77777777" w:rsidR="00FF7522" w:rsidRDefault="00B3730D">
            <w:r>
              <w:t>Direct annual dollar savings</w:t>
            </w:r>
          </w:p>
        </w:tc>
        <w:tc>
          <w:tcPr>
            <w:tcW w:w="2102" w:type="dxa"/>
          </w:tcPr>
          <w:p w14:paraId="6D6A6FFA" w14:textId="77777777" w:rsidR="00FF7522" w:rsidRDefault="00B3730D">
            <w:r>
              <w:t>$22,500–$30,000</w:t>
            </w:r>
          </w:p>
        </w:tc>
        <w:tc>
          <w:tcPr>
            <w:tcW w:w="2102" w:type="dxa"/>
          </w:tcPr>
          <w:p w14:paraId="00B888AB" w14:textId="77777777" w:rsidR="00FF7522" w:rsidRDefault="00B3730D">
            <w:r>
              <w:t>Documented benchmark</w:t>
            </w:r>
          </w:p>
        </w:tc>
        <w:tc>
          <w:tcPr>
            <w:tcW w:w="2102" w:type="dxa"/>
          </w:tcPr>
          <w:p w14:paraId="66AA419D" w14:textId="77777777" w:rsidR="00FF7522" w:rsidRDefault="00B3730D">
            <w:r>
              <w:t>Conservative to higher-value scenario</w:t>
            </w:r>
          </w:p>
        </w:tc>
        <w:tc>
          <w:tcPr>
            <w:tcW w:w="2102" w:type="dxa"/>
          </w:tcPr>
          <w:p w14:paraId="2FD0D06B" w14:textId="77777777" w:rsidR="00FF7522" w:rsidRDefault="00B3730D">
            <w:r>
              <w:t>Internal benchmark</w:t>
            </w:r>
          </w:p>
        </w:tc>
      </w:tr>
    </w:tbl>
    <w:p w14:paraId="7CECF9F7" w14:textId="77777777" w:rsidR="00FF7522" w:rsidRDefault="00B3730D">
      <w:pPr>
        <w:pStyle w:val="Heading2"/>
      </w:pPr>
      <w:r>
        <w:t>4.2 Position / Capacity Impact</w:t>
      </w:r>
    </w:p>
    <w:p w14:paraId="58A22635" w14:textId="77777777" w:rsidR="00FF7522" w:rsidRDefault="00B3730D">
      <w:r>
        <w:t>The workflow does not require headcount elimination to create value. The more defensible business case is capacity recovery: the time returned from manual file intake, repeat copy/paste profile creation, error correction, and follow-up coordination can be redeployed to analytics, governance, control, and vendor management. At benchmark performance, the recovered capacity is equivalent to approximately 0.54–0.72 FTE for a 3-person team.</w:t>
      </w:r>
    </w:p>
    <w:tbl>
      <w:tblPr>
        <w:tblStyle w:val="TableGrid"/>
        <w:tblW w:w="0" w:type="auto"/>
        <w:tblLook w:val="04A0" w:firstRow="1" w:lastRow="0" w:firstColumn="1" w:lastColumn="0" w:noHBand="0" w:noVBand="1"/>
      </w:tblPr>
      <w:tblGrid>
        <w:gridCol w:w="2626"/>
        <w:gridCol w:w="2625"/>
        <w:gridCol w:w="2625"/>
        <w:gridCol w:w="2626"/>
      </w:tblGrid>
      <w:tr w:rsidR="00FF7522" w14:paraId="2E61C946" w14:textId="77777777">
        <w:tc>
          <w:tcPr>
            <w:tcW w:w="2628" w:type="dxa"/>
            <w:shd w:val="clear" w:color="auto" w:fill="D9EAF7"/>
          </w:tcPr>
          <w:p w14:paraId="233E1FB8" w14:textId="77777777" w:rsidR="00FF7522" w:rsidRDefault="00B3730D">
            <w:r>
              <w:rPr>
                <w:b/>
              </w:rPr>
              <w:t>Capacity impact type</w:t>
            </w:r>
          </w:p>
        </w:tc>
        <w:tc>
          <w:tcPr>
            <w:tcW w:w="2628" w:type="dxa"/>
            <w:shd w:val="clear" w:color="auto" w:fill="D9EAF7"/>
          </w:tcPr>
          <w:p w14:paraId="59511A50" w14:textId="77777777" w:rsidR="00FF7522" w:rsidRDefault="00B3730D">
            <w:r>
              <w:rPr>
                <w:b/>
              </w:rPr>
              <w:t>Conservative</w:t>
            </w:r>
          </w:p>
        </w:tc>
        <w:tc>
          <w:tcPr>
            <w:tcW w:w="2628" w:type="dxa"/>
            <w:shd w:val="clear" w:color="auto" w:fill="D9EAF7"/>
          </w:tcPr>
          <w:p w14:paraId="1ECDFEE6" w14:textId="77777777" w:rsidR="00FF7522" w:rsidRDefault="00B3730D">
            <w:r>
              <w:rPr>
                <w:b/>
              </w:rPr>
              <w:t>Higher-value</w:t>
            </w:r>
          </w:p>
        </w:tc>
        <w:tc>
          <w:tcPr>
            <w:tcW w:w="2628" w:type="dxa"/>
            <w:shd w:val="clear" w:color="auto" w:fill="D9EAF7"/>
          </w:tcPr>
          <w:p w14:paraId="25546E3C" w14:textId="77777777" w:rsidR="00FF7522" w:rsidRDefault="00B3730D">
            <w:r>
              <w:rPr>
                <w:b/>
              </w:rPr>
              <w:t>Notes</w:t>
            </w:r>
          </w:p>
        </w:tc>
      </w:tr>
      <w:tr w:rsidR="00FF7522" w14:paraId="5C3B2680" w14:textId="77777777">
        <w:tc>
          <w:tcPr>
            <w:tcW w:w="2628" w:type="dxa"/>
          </w:tcPr>
          <w:p w14:paraId="1526C98F" w14:textId="77777777" w:rsidR="00FF7522" w:rsidRDefault="00B3730D">
            <w:r>
              <w:t>Recovered analyst days/year</w:t>
            </w:r>
          </w:p>
        </w:tc>
        <w:tc>
          <w:tcPr>
            <w:tcW w:w="2628" w:type="dxa"/>
          </w:tcPr>
          <w:p w14:paraId="6F5909ED" w14:textId="77777777" w:rsidR="00FF7522" w:rsidRDefault="00B3730D">
            <w:r>
              <w:t>141</w:t>
            </w:r>
          </w:p>
        </w:tc>
        <w:tc>
          <w:tcPr>
            <w:tcW w:w="2628" w:type="dxa"/>
          </w:tcPr>
          <w:p w14:paraId="3A7F104C" w14:textId="77777777" w:rsidR="00FF7522" w:rsidRDefault="00B3730D">
            <w:r>
              <w:t>188</w:t>
            </w:r>
          </w:p>
        </w:tc>
        <w:tc>
          <w:tcPr>
            <w:tcW w:w="2628" w:type="dxa"/>
          </w:tcPr>
          <w:p w14:paraId="6224447E" w14:textId="77777777" w:rsidR="00FF7522" w:rsidRDefault="00B3730D">
            <w:r>
              <w:t>Assumes 8-hour workday</w:t>
            </w:r>
          </w:p>
        </w:tc>
      </w:tr>
      <w:tr w:rsidR="00FF7522" w14:paraId="2EFA37B2" w14:textId="77777777">
        <w:tc>
          <w:tcPr>
            <w:tcW w:w="2628" w:type="dxa"/>
          </w:tcPr>
          <w:p w14:paraId="79A02DFF" w14:textId="77777777" w:rsidR="00FF7522" w:rsidRDefault="00B3730D">
            <w:r>
              <w:lastRenderedPageBreak/>
              <w:t>Recovered work weeks/year</w:t>
            </w:r>
          </w:p>
        </w:tc>
        <w:tc>
          <w:tcPr>
            <w:tcW w:w="2628" w:type="dxa"/>
          </w:tcPr>
          <w:p w14:paraId="19C212A6" w14:textId="77777777" w:rsidR="00FF7522" w:rsidRDefault="00B3730D">
            <w:r>
              <w:t>28.1</w:t>
            </w:r>
          </w:p>
        </w:tc>
        <w:tc>
          <w:tcPr>
            <w:tcW w:w="2628" w:type="dxa"/>
          </w:tcPr>
          <w:p w14:paraId="3BB5E843" w14:textId="77777777" w:rsidR="00FF7522" w:rsidRDefault="00B3730D">
            <w:r>
              <w:t>37.5</w:t>
            </w:r>
          </w:p>
        </w:tc>
        <w:tc>
          <w:tcPr>
            <w:tcW w:w="2628" w:type="dxa"/>
          </w:tcPr>
          <w:p w14:paraId="483F43C9" w14:textId="77777777" w:rsidR="00FF7522" w:rsidRDefault="00B3730D">
            <w:r>
              <w:t>Assumes 40-hour workweek</w:t>
            </w:r>
          </w:p>
        </w:tc>
      </w:tr>
      <w:tr w:rsidR="00FF7522" w14:paraId="7A6E4144" w14:textId="77777777">
        <w:tc>
          <w:tcPr>
            <w:tcW w:w="2628" w:type="dxa"/>
          </w:tcPr>
          <w:p w14:paraId="1CEF8F45" w14:textId="77777777" w:rsidR="00FF7522" w:rsidRDefault="00B3730D">
            <w:r>
              <w:t>Equivalent FTE</w:t>
            </w:r>
          </w:p>
        </w:tc>
        <w:tc>
          <w:tcPr>
            <w:tcW w:w="2628" w:type="dxa"/>
          </w:tcPr>
          <w:p w14:paraId="3B5A8A37" w14:textId="77777777" w:rsidR="00FF7522" w:rsidRDefault="00B3730D">
            <w:r>
              <w:t>0.54</w:t>
            </w:r>
          </w:p>
        </w:tc>
        <w:tc>
          <w:tcPr>
            <w:tcW w:w="2628" w:type="dxa"/>
          </w:tcPr>
          <w:p w14:paraId="46034F62" w14:textId="77777777" w:rsidR="00FF7522" w:rsidRDefault="00B3730D">
            <w:r>
              <w:t>0.72</w:t>
            </w:r>
          </w:p>
        </w:tc>
        <w:tc>
          <w:tcPr>
            <w:tcW w:w="2628" w:type="dxa"/>
          </w:tcPr>
          <w:p w14:paraId="3C61AC8D" w14:textId="77777777" w:rsidR="00FF7522" w:rsidRDefault="00B3730D">
            <w:r>
              <w:t>Assumes 2,080 hours/FTE/year</w:t>
            </w:r>
          </w:p>
        </w:tc>
      </w:tr>
      <w:tr w:rsidR="00FF7522" w14:paraId="75CC7925" w14:textId="77777777">
        <w:tc>
          <w:tcPr>
            <w:tcW w:w="2628" w:type="dxa"/>
          </w:tcPr>
          <w:p w14:paraId="04856DEB" w14:textId="77777777" w:rsidR="00FF7522" w:rsidRDefault="00B3730D">
            <w:r>
              <w:t>Recommended use of released capacity</w:t>
            </w:r>
          </w:p>
        </w:tc>
        <w:tc>
          <w:tcPr>
            <w:tcW w:w="2628" w:type="dxa"/>
          </w:tcPr>
          <w:p w14:paraId="1A95E962" w14:textId="77777777" w:rsidR="00FF7522" w:rsidRDefault="00B3730D">
            <w:r>
              <w:t>QA, governance, analytics</w:t>
            </w:r>
          </w:p>
        </w:tc>
        <w:tc>
          <w:tcPr>
            <w:tcW w:w="2628" w:type="dxa"/>
          </w:tcPr>
          <w:p w14:paraId="348863C8" w14:textId="77777777" w:rsidR="00FF7522" w:rsidRDefault="00B3730D">
            <w:r>
              <w:t>QA, governance, analytics + intraday control</w:t>
            </w:r>
          </w:p>
        </w:tc>
        <w:tc>
          <w:tcPr>
            <w:tcW w:w="2628" w:type="dxa"/>
          </w:tcPr>
          <w:p w14:paraId="000E5D8D" w14:textId="77777777" w:rsidR="00FF7522" w:rsidRDefault="00B3730D">
            <w:r>
              <w:t>Recommended redeployment, not headcount elimination</w:t>
            </w:r>
          </w:p>
        </w:tc>
      </w:tr>
    </w:tbl>
    <w:p w14:paraId="52FFEB77" w14:textId="77777777" w:rsidR="00FF7522" w:rsidRDefault="00B3730D">
      <w:pPr>
        <w:pStyle w:val="Heading2"/>
      </w:pPr>
      <w:r>
        <w:t>4.3 Error Reduction and Rework Avoidance</w:t>
      </w:r>
    </w:p>
    <w:p w14:paraId="684FDF32" w14:textId="77777777" w:rsidR="00FF7522" w:rsidRDefault="00B3730D">
      <w:r>
        <w:t>Available internal sources explicitly document reduced risk of human error and rework, standardized data validation, and the need for a validation checkpoint because automation still requires review. However, the sources do not provide a numeric defect-rate baseline for this specific onboarding workflow. For that reason, the financial effect of error reduction is directionally positive and operationally important, but exact dollar savings from avoided onboarding defects must be measured during rollout rathe</w:t>
      </w:r>
      <w:r>
        <w:t>r than claimed upfront.</w:t>
      </w:r>
    </w:p>
    <w:tbl>
      <w:tblPr>
        <w:tblStyle w:val="TableGrid"/>
        <w:tblW w:w="0" w:type="auto"/>
        <w:tblLook w:val="04A0" w:firstRow="1" w:lastRow="0" w:firstColumn="1" w:lastColumn="0" w:noHBand="0" w:noVBand="1"/>
      </w:tblPr>
      <w:tblGrid>
        <w:gridCol w:w="2101"/>
        <w:gridCol w:w="2100"/>
        <w:gridCol w:w="2100"/>
        <w:gridCol w:w="2100"/>
        <w:gridCol w:w="2101"/>
      </w:tblGrid>
      <w:tr w:rsidR="00FF7522" w14:paraId="2A038BEA" w14:textId="77777777">
        <w:tc>
          <w:tcPr>
            <w:tcW w:w="2102" w:type="dxa"/>
            <w:shd w:val="clear" w:color="auto" w:fill="D9EAF7"/>
          </w:tcPr>
          <w:p w14:paraId="503D5007" w14:textId="77777777" w:rsidR="00FF7522" w:rsidRDefault="00B3730D">
            <w:r>
              <w:rPr>
                <w:b/>
              </w:rPr>
              <w:t>Error category</w:t>
            </w:r>
          </w:p>
        </w:tc>
        <w:tc>
          <w:tcPr>
            <w:tcW w:w="2102" w:type="dxa"/>
            <w:shd w:val="clear" w:color="auto" w:fill="D9EAF7"/>
          </w:tcPr>
          <w:p w14:paraId="53445132" w14:textId="77777777" w:rsidR="00FF7522" w:rsidRDefault="00B3730D">
            <w:r>
              <w:rPr>
                <w:b/>
              </w:rPr>
              <w:t>What the workflow changes</w:t>
            </w:r>
          </w:p>
        </w:tc>
        <w:tc>
          <w:tcPr>
            <w:tcW w:w="2102" w:type="dxa"/>
            <w:shd w:val="clear" w:color="auto" w:fill="D9EAF7"/>
          </w:tcPr>
          <w:p w14:paraId="12EC882E" w14:textId="77777777" w:rsidR="00FF7522" w:rsidRDefault="00B3730D">
            <w:r>
              <w:rPr>
                <w:b/>
              </w:rPr>
              <w:t>Expected effect</w:t>
            </w:r>
          </w:p>
        </w:tc>
        <w:tc>
          <w:tcPr>
            <w:tcW w:w="2102" w:type="dxa"/>
            <w:shd w:val="clear" w:color="auto" w:fill="D9EAF7"/>
          </w:tcPr>
          <w:p w14:paraId="0B9AF0A9" w14:textId="77777777" w:rsidR="00FF7522" w:rsidRDefault="00B3730D">
            <w:r>
              <w:rPr>
                <w:b/>
              </w:rPr>
              <w:t>Quantified now?</w:t>
            </w:r>
          </w:p>
        </w:tc>
        <w:tc>
          <w:tcPr>
            <w:tcW w:w="2102" w:type="dxa"/>
            <w:shd w:val="clear" w:color="auto" w:fill="D9EAF7"/>
          </w:tcPr>
          <w:p w14:paraId="17063364" w14:textId="77777777" w:rsidR="00FF7522" w:rsidRDefault="00B3730D">
            <w:r>
              <w:rPr>
                <w:b/>
              </w:rPr>
              <w:t>Measurement recommendation</w:t>
            </w:r>
          </w:p>
        </w:tc>
      </w:tr>
      <w:tr w:rsidR="00FF7522" w14:paraId="0FD8038C" w14:textId="77777777">
        <w:tc>
          <w:tcPr>
            <w:tcW w:w="2102" w:type="dxa"/>
          </w:tcPr>
          <w:p w14:paraId="0EE52BB0" w14:textId="77777777" w:rsidR="00FF7522" w:rsidRDefault="00B3730D">
            <w:r>
              <w:t>Missing mandatory fields</w:t>
            </w:r>
          </w:p>
        </w:tc>
        <w:tc>
          <w:tcPr>
            <w:tcW w:w="2102" w:type="dxa"/>
          </w:tcPr>
          <w:p w14:paraId="626D6A13" w14:textId="77777777" w:rsidR="00FF7522" w:rsidRDefault="00B3730D">
            <w:r>
              <w:t>Standard template + validation checkpoint</w:t>
            </w:r>
          </w:p>
        </w:tc>
        <w:tc>
          <w:tcPr>
            <w:tcW w:w="2102" w:type="dxa"/>
          </w:tcPr>
          <w:p w14:paraId="5F32B096" w14:textId="77777777" w:rsidR="00FF7522" w:rsidRDefault="00B3730D">
            <w:r>
              <w:t>Prevents incomplete submissions from moving downstream</w:t>
            </w:r>
          </w:p>
        </w:tc>
        <w:tc>
          <w:tcPr>
            <w:tcW w:w="2102" w:type="dxa"/>
          </w:tcPr>
          <w:p w14:paraId="77FEA03F" w14:textId="77777777" w:rsidR="00FF7522" w:rsidRDefault="00B3730D">
            <w:r>
              <w:t>No exact baseline available</w:t>
            </w:r>
          </w:p>
        </w:tc>
        <w:tc>
          <w:tcPr>
            <w:tcW w:w="2102" w:type="dxa"/>
          </w:tcPr>
          <w:p w14:paraId="492AA9EF" w14:textId="77777777" w:rsidR="00FF7522" w:rsidRDefault="00B3730D">
            <w:r>
              <w:t>Track # of rejected files and correction cycle time</w:t>
            </w:r>
          </w:p>
        </w:tc>
      </w:tr>
      <w:tr w:rsidR="00FF7522" w14:paraId="31D6FAAE" w14:textId="77777777">
        <w:tc>
          <w:tcPr>
            <w:tcW w:w="2102" w:type="dxa"/>
          </w:tcPr>
          <w:p w14:paraId="427FC572" w14:textId="77777777" w:rsidR="00FF7522" w:rsidRDefault="00B3730D">
            <w:r>
              <w:t>Wrong file structure / formatting</w:t>
            </w:r>
          </w:p>
        </w:tc>
        <w:tc>
          <w:tcPr>
            <w:tcW w:w="2102" w:type="dxa"/>
          </w:tcPr>
          <w:p w14:paraId="60F509D7" w14:textId="77777777" w:rsidR="00FF7522" w:rsidRDefault="00B3730D">
            <w:r>
              <w:t>Automation trigger + validation rules</w:t>
            </w:r>
          </w:p>
        </w:tc>
        <w:tc>
          <w:tcPr>
            <w:tcW w:w="2102" w:type="dxa"/>
          </w:tcPr>
          <w:p w14:paraId="276363B7" w14:textId="77777777" w:rsidR="00FF7522" w:rsidRDefault="00B3730D">
            <w:r>
              <w:t>Reduces downstream processing failures</w:t>
            </w:r>
          </w:p>
        </w:tc>
        <w:tc>
          <w:tcPr>
            <w:tcW w:w="2102" w:type="dxa"/>
          </w:tcPr>
          <w:p w14:paraId="4716DE15" w14:textId="77777777" w:rsidR="00FF7522" w:rsidRDefault="00B3730D">
            <w:r>
              <w:t>No exact baseline available</w:t>
            </w:r>
          </w:p>
        </w:tc>
        <w:tc>
          <w:tcPr>
            <w:tcW w:w="2102" w:type="dxa"/>
          </w:tcPr>
          <w:p w14:paraId="25F31B9E" w14:textId="77777777" w:rsidR="00FF7522" w:rsidRDefault="00B3730D">
            <w:r>
              <w:t>Track # of format failures per month</w:t>
            </w:r>
          </w:p>
        </w:tc>
      </w:tr>
      <w:tr w:rsidR="00FF7522" w14:paraId="563A4231" w14:textId="77777777">
        <w:tc>
          <w:tcPr>
            <w:tcW w:w="2102" w:type="dxa"/>
          </w:tcPr>
          <w:p w14:paraId="65A86539" w14:textId="77777777" w:rsidR="00FF7522" w:rsidRDefault="00B3730D">
            <w:r>
              <w:t>Duplicate identity / profile creation</w:t>
            </w:r>
          </w:p>
        </w:tc>
        <w:tc>
          <w:tcPr>
            <w:tcW w:w="2102" w:type="dxa"/>
          </w:tcPr>
          <w:p w14:paraId="0C6FB5FA" w14:textId="77777777" w:rsidR="00FF7522" w:rsidRDefault="00B3730D">
            <w:r>
              <w:t>Duplicate prevention + master roster governance</w:t>
            </w:r>
          </w:p>
        </w:tc>
        <w:tc>
          <w:tcPr>
            <w:tcW w:w="2102" w:type="dxa"/>
          </w:tcPr>
          <w:p w14:paraId="04546CB3" w14:textId="77777777" w:rsidR="00FF7522" w:rsidRDefault="00B3730D">
            <w:r>
              <w:t>Avoids cleanup effort and reporting distortion</w:t>
            </w:r>
          </w:p>
        </w:tc>
        <w:tc>
          <w:tcPr>
            <w:tcW w:w="2102" w:type="dxa"/>
          </w:tcPr>
          <w:p w14:paraId="79D4A6FE" w14:textId="77777777" w:rsidR="00FF7522" w:rsidRDefault="00B3730D">
            <w:r>
              <w:t>No exact baseline available</w:t>
            </w:r>
          </w:p>
        </w:tc>
        <w:tc>
          <w:tcPr>
            <w:tcW w:w="2102" w:type="dxa"/>
          </w:tcPr>
          <w:p w14:paraId="4D00FC76" w14:textId="77777777" w:rsidR="00FF7522" w:rsidRDefault="00B3730D">
            <w:r>
              <w:t>Track # of duplicate records prevented / corrected</w:t>
            </w:r>
          </w:p>
        </w:tc>
      </w:tr>
      <w:tr w:rsidR="00FF7522" w14:paraId="689E2194" w14:textId="77777777">
        <w:tc>
          <w:tcPr>
            <w:tcW w:w="2102" w:type="dxa"/>
          </w:tcPr>
          <w:p w14:paraId="5CE95255" w14:textId="77777777" w:rsidR="00FF7522" w:rsidRDefault="00B3730D">
            <w:r>
              <w:t>Late access / profile creation</w:t>
            </w:r>
          </w:p>
        </w:tc>
        <w:tc>
          <w:tcPr>
            <w:tcW w:w="2102" w:type="dxa"/>
          </w:tcPr>
          <w:p w14:paraId="3CBDBC42" w14:textId="77777777" w:rsidR="00FF7522" w:rsidRDefault="00B3730D">
            <w:r>
              <w:t>Parallel alerting to responsible teams</w:t>
            </w:r>
          </w:p>
        </w:tc>
        <w:tc>
          <w:tcPr>
            <w:tcW w:w="2102" w:type="dxa"/>
          </w:tcPr>
          <w:p w14:paraId="3A0463B5" w14:textId="77777777" w:rsidR="00FF7522" w:rsidRDefault="00B3730D">
            <w:r>
              <w:t>Reduces waiting time between intake and provisioning</w:t>
            </w:r>
          </w:p>
        </w:tc>
        <w:tc>
          <w:tcPr>
            <w:tcW w:w="2102" w:type="dxa"/>
          </w:tcPr>
          <w:p w14:paraId="660692BB" w14:textId="77777777" w:rsidR="00FF7522" w:rsidRDefault="00B3730D">
            <w:r>
              <w:t>No exact baseline available</w:t>
            </w:r>
          </w:p>
        </w:tc>
        <w:tc>
          <w:tcPr>
            <w:tcW w:w="2102" w:type="dxa"/>
          </w:tcPr>
          <w:p w14:paraId="661BF1A6" w14:textId="77777777" w:rsidR="00FF7522" w:rsidRDefault="00B3730D">
            <w:r>
              <w:t>Track cycle time from file receipt to profile readiness</w:t>
            </w:r>
          </w:p>
        </w:tc>
      </w:tr>
      <w:tr w:rsidR="00FF7522" w14:paraId="43592E79" w14:textId="77777777">
        <w:tc>
          <w:tcPr>
            <w:tcW w:w="2102" w:type="dxa"/>
          </w:tcPr>
          <w:p w14:paraId="53D41F65" w14:textId="77777777" w:rsidR="00FF7522" w:rsidRDefault="00B3730D">
            <w:r>
              <w:t>Roster-to-system mismatch</w:t>
            </w:r>
          </w:p>
        </w:tc>
        <w:tc>
          <w:tcPr>
            <w:tcW w:w="2102" w:type="dxa"/>
          </w:tcPr>
          <w:p w14:paraId="250C4512" w14:textId="77777777" w:rsidR="00FF7522" w:rsidRDefault="00B3730D">
            <w:r>
              <w:t>Master roster + enrichment + centralized ownership</w:t>
            </w:r>
          </w:p>
        </w:tc>
        <w:tc>
          <w:tcPr>
            <w:tcW w:w="2102" w:type="dxa"/>
          </w:tcPr>
          <w:p w14:paraId="2877A951" w14:textId="77777777" w:rsidR="00FF7522" w:rsidRDefault="00B3730D">
            <w:r>
              <w:t>Improves data consistency across SharePoint, Fieldglass, and IEX</w:t>
            </w:r>
          </w:p>
        </w:tc>
        <w:tc>
          <w:tcPr>
            <w:tcW w:w="2102" w:type="dxa"/>
          </w:tcPr>
          <w:p w14:paraId="46B18461" w14:textId="77777777" w:rsidR="00FF7522" w:rsidRDefault="00B3730D">
            <w:r>
              <w:t>No exact baseline available</w:t>
            </w:r>
          </w:p>
        </w:tc>
        <w:tc>
          <w:tcPr>
            <w:tcW w:w="2102" w:type="dxa"/>
          </w:tcPr>
          <w:p w14:paraId="2FEA0EF8" w14:textId="77777777" w:rsidR="00FF7522" w:rsidRDefault="00B3730D">
            <w:r>
              <w:t>Track variance between roster, worker record, and final profile</w:t>
            </w:r>
          </w:p>
        </w:tc>
      </w:tr>
    </w:tbl>
    <w:p w14:paraId="417938C3" w14:textId="77777777" w:rsidR="00FF7522" w:rsidRDefault="00B3730D">
      <w:pPr>
        <w:pStyle w:val="Heading2"/>
      </w:pPr>
      <w:r>
        <w:t>4.4 Governance and Shadow-Process Cost Avoidance</w:t>
      </w:r>
    </w:p>
    <w:p w14:paraId="34D56BE6" w14:textId="77777777" w:rsidR="00FF7522" w:rsidRDefault="00B3730D">
      <w:r>
        <w:t>The internal IEX go-live plan explicitly states that no parallel WFM tools will be permitted post go-live, and it identifies vendor resistance, missing/dirty roster data, and lack of dedicated WFM points of contact as material risks. While the document does not attach a specific dollar value to eliminating shadow tools, the economic benefit is real: less duplicate reporting, fewer local workarounds, lower reconciliation overhead, and stronger auditability.</w:t>
      </w:r>
    </w:p>
    <w:p w14:paraId="7DB063F1" w14:textId="77777777" w:rsidR="00FF7522" w:rsidRDefault="00B3730D">
      <w:pPr>
        <w:pStyle w:val="ListBullet"/>
      </w:pPr>
      <w:r>
        <w:t>Economic effect: lower recurring coordination friction and lower reconciliation effort.</w:t>
      </w:r>
    </w:p>
    <w:p w14:paraId="260B05E8" w14:textId="77777777" w:rsidR="00FF7522" w:rsidRDefault="00B3730D">
      <w:pPr>
        <w:pStyle w:val="ListBullet"/>
      </w:pPr>
      <w:r>
        <w:t>Operational effect: one system of record supports cleaner scheduling, forecasting, and reporting.</w:t>
      </w:r>
    </w:p>
    <w:p w14:paraId="13852498" w14:textId="77777777" w:rsidR="00FF7522" w:rsidRDefault="00B3730D">
      <w:pPr>
        <w:pStyle w:val="ListBullet"/>
      </w:pPr>
      <w:r>
        <w:t>Compliance effect: centralized ownership improves audit readiness and defensibility.</w:t>
      </w:r>
    </w:p>
    <w:p w14:paraId="47C04C2A" w14:textId="77777777" w:rsidR="00FF7522" w:rsidRDefault="00B3730D">
      <w:pPr>
        <w:pStyle w:val="Heading1"/>
      </w:pPr>
      <w:r>
        <w:t>5. Investment, Payback, and Multi-Year Value</w:t>
      </w:r>
    </w:p>
    <w:p w14:paraId="2E43422F" w14:textId="77777777" w:rsidR="00FF7522" w:rsidRDefault="00B3730D">
      <w:r>
        <w:t>A live WFM automation benchmark documented an investment of $10,565, a payback period of approximately 4–6 months, year-1 ROI of 94%–165%, and a 3-year net benefit of $50,935–$73,435. Those values should be treated as an internal benchmark for the economic profile of WFM automation rather than as a guaranteed project quote for this onboarding workflow. They are still highly relevant because they show the order of magnitude of value that similar automation has already produced inside the same broader WFM con</w:t>
      </w:r>
      <w:r>
        <w:t>text.</w:t>
      </w:r>
    </w:p>
    <w:tbl>
      <w:tblPr>
        <w:tblStyle w:val="TableGrid"/>
        <w:tblW w:w="0" w:type="auto"/>
        <w:tblLook w:val="04A0" w:firstRow="1" w:lastRow="0" w:firstColumn="1" w:lastColumn="0" w:noHBand="0" w:noVBand="1"/>
      </w:tblPr>
      <w:tblGrid>
        <w:gridCol w:w="2626"/>
        <w:gridCol w:w="2626"/>
        <w:gridCol w:w="2625"/>
        <w:gridCol w:w="2625"/>
      </w:tblGrid>
      <w:tr w:rsidR="00FF7522" w14:paraId="416B203F" w14:textId="77777777">
        <w:tc>
          <w:tcPr>
            <w:tcW w:w="2628" w:type="dxa"/>
            <w:shd w:val="clear" w:color="auto" w:fill="D9EAF7"/>
          </w:tcPr>
          <w:p w14:paraId="1758F636" w14:textId="77777777" w:rsidR="00FF7522" w:rsidRDefault="00B3730D">
            <w:r>
              <w:rPr>
                <w:b/>
              </w:rPr>
              <w:t>Financial metric</w:t>
            </w:r>
          </w:p>
        </w:tc>
        <w:tc>
          <w:tcPr>
            <w:tcW w:w="2628" w:type="dxa"/>
            <w:shd w:val="clear" w:color="auto" w:fill="D9EAF7"/>
          </w:tcPr>
          <w:p w14:paraId="284C18B0" w14:textId="77777777" w:rsidR="00FF7522" w:rsidRDefault="00B3730D">
            <w:r>
              <w:rPr>
                <w:b/>
              </w:rPr>
              <w:t>Conservative benchmark</w:t>
            </w:r>
          </w:p>
        </w:tc>
        <w:tc>
          <w:tcPr>
            <w:tcW w:w="2628" w:type="dxa"/>
            <w:shd w:val="clear" w:color="auto" w:fill="D9EAF7"/>
          </w:tcPr>
          <w:p w14:paraId="1B618788" w14:textId="77777777" w:rsidR="00FF7522" w:rsidRDefault="00B3730D">
            <w:r>
              <w:rPr>
                <w:b/>
              </w:rPr>
              <w:t>Higher-value benchmark</w:t>
            </w:r>
          </w:p>
        </w:tc>
        <w:tc>
          <w:tcPr>
            <w:tcW w:w="2628" w:type="dxa"/>
            <w:shd w:val="clear" w:color="auto" w:fill="D9EAF7"/>
          </w:tcPr>
          <w:p w14:paraId="666679BB" w14:textId="77777777" w:rsidR="00FF7522" w:rsidRDefault="00B3730D">
            <w:r>
              <w:rPr>
                <w:b/>
              </w:rPr>
              <w:t>Use guidance</w:t>
            </w:r>
          </w:p>
        </w:tc>
      </w:tr>
      <w:tr w:rsidR="00FF7522" w14:paraId="633C2E46" w14:textId="77777777">
        <w:tc>
          <w:tcPr>
            <w:tcW w:w="2628" w:type="dxa"/>
          </w:tcPr>
          <w:p w14:paraId="26DBFDA0" w14:textId="77777777" w:rsidR="00FF7522" w:rsidRDefault="00B3730D">
            <w:r>
              <w:lastRenderedPageBreak/>
              <w:t>Implementation / development investment</w:t>
            </w:r>
          </w:p>
        </w:tc>
        <w:tc>
          <w:tcPr>
            <w:tcW w:w="2628" w:type="dxa"/>
          </w:tcPr>
          <w:p w14:paraId="5E6321A1" w14:textId="77777777" w:rsidR="00FF7522" w:rsidRDefault="00B3730D">
            <w:r>
              <w:t>$10,565</w:t>
            </w:r>
          </w:p>
        </w:tc>
        <w:tc>
          <w:tcPr>
            <w:tcW w:w="2628" w:type="dxa"/>
          </w:tcPr>
          <w:p w14:paraId="6DC7850F" w14:textId="77777777" w:rsidR="00FF7522" w:rsidRDefault="00B3730D">
            <w:r>
              <w:t>$10,565</w:t>
            </w:r>
          </w:p>
        </w:tc>
        <w:tc>
          <w:tcPr>
            <w:tcW w:w="2628" w:type="dxa"/>
          </w:tcPr>
          <w:p w14:paraId="650E131B" w14:textId="77777777" w:rsidR="00FF7522" w:rsidRDefault="00B3730D">
            <w:r>
              <w:t>Use as internal benchmark unless a dedicated project estimate is approved</w:t>
            </w:r>
          </w:p>
        </w:tc>
      </w:tr>
      <w:tr w:rsidR="00FF7522" w14:paraId="3193CEF7" w14:textId="77777777">
        <w:tc>
          <w:tcPr>
            <w:tcW w:w="2628" w:type="dxa"/>
          </w:tcPr>
          <w:p w14:paraId="17AFF01C" w14:textId="77777777" w:rsidR="00FF7522" w:rsidRDefault="00B3730D">
            <w:r>
              <w:t>Annual savings</w:t>
            </w:r>
          </w:p>
        </w:tc>
        <w:tc>
          <w:tcPr>
            <w:tcW w:w="2628" w:type="dxa"/>
          </w:tcPr>
          <w:p w14:paraId="2BC03081" w14:textId="77777777" w:rsidR="00FF7522" w:rsidRDefault="00B3730D">
            <w:r>
              <w:t>$22,500</w:t>
            </w:r>
          </w:p>
        </w:tc>
        <w:tc>
          <w:tcPr>
            <w:tcW w:w="2628" w:type="dxa"/>
          </w:tcPr>
          <w:p w14:paraId="79F5FC46" w14:textId="77777777" w:rsidR="00FF7522" w:rsidRDefault="00B3730D">
            <w:r>
              <w:t>$30,000</w:t>
            </w:r>
          </w:p>
        </w:tc>
        <w:tc>
          <w:tcPr>
            <w:tcW w:w="2628" w:type="dxa"/>
          </w:tcPr>
          <w:p w14:paraId="67CE17F7" w14:textId="77777777" w:rsidR="00FF7522" w:rsidRDefault="00B3730D">
            <w:r>
              <w:t>Strong directional reference for WFM automation value</w:t>
            </w:r>
          </w:p>
        </w:tc>
      </w:tr>
      <w:tr w:rsidR="00FF7522" w14:paraId="6EF5C1B0" w14:textId="77777777">
        <w:tc>
          <w:tcPr>
            <w:tcW w:w="2628" w:type="dxa"/>
          </w:tcPr>
          <w:p w14:paraId="542B08C2" w14:textId="77777777" w:rsidR="00FF7522" w:rsidRDefault="00B3730D">
            <w:r>
              <w:t>Year-1 ROI</w:t>
            </w:r>
          </w:p>
        </w:tc>
        <w:tc>
          <w:tcPr>
            <w:tcW w:w="2628" w:type="dxa"/>
          </w:tcPr>
          <w:p w14:paraId="13072AF0" w14:textId="77777777" w:rsidR="00FF7522" w:rsidRDefault="00B3730D">
            <w:r>
              <w:t>94%</w:t>
            </w:r>
          </w:p>
        </w:tc>
        <w:tc>
          <w:tcPr>
            <w:tcW w:w="2628" w:type="dxa"/>
          </w:tcPr>
          <w:p w14:paraId="5F2BFE68" w14:textId="77777777" w:rsidR="00FF7522" w:rsidRDefault="00B3730D">
            <w:r>
              <w:t>165%</w:t>
            </w:r>
          </w:p>
        </w:tc>
        <w:tc>
          <w:tcPr>
            <w:tcW w:w="2628" w:type="dxa"/>
          </w:tcPr>
          <w:p w14:paraId="63C59719" w14:textId="77777777" w:rsidR="00FF7522" w:rsidRDefault="00B3730D">
            <w:r>
              <w:t>Useful executive benchmark</w:t>
            </w:r>
          </w:p>
        </w:tc>
      </w:tr>
      <w:tr w:rsidR="00FF7522" w14:paraId="780CE4E8" w14:textId="77777777">
        <w:tc>
          <w:tcPr>
            <w:tcW w:w="2628" w:type="dxa"/>
          </w:tcPr>
          <w:p w14:paraId="0012987B" w14:textId="77777777" w:rsidR="00FF7522" w:rsidRDefault="00B3730D">
            <w:r>
              <w:t>Payback period</w:t>
            </w:r>
          </w:p>
        </w:tc>
        <w:tc>
          <w:tcPr>
            <w:tcW w:w="2628" w:type="dxa"/>
          </w:tcPr>
          <w:p w14:paraId="7FBDDB53" w14:textId="77777777" w:rsidR="00FF7522" w:rsidRDefault="00B3730D">
            <w:r>
              <w:t>~6 months</w:t>
            </w:r>
          </w:p>
        </w:tc>
        <w:tc>
          <w:tcPr>
            <w:tcW w:w="2628" w:type="dxa"/>
          </w:tcPr>
          <w:p w14:paraId="20B76B59" w14:textId="77777777" w:rsidR="00FF7522" w:rsidRDefault="00B3730D">
            <w:r>
              <w:t>~4 months</w:t>
            </w:r>
          </w:p>
        </w:tc>
        <w:tc>
          <w:tcPr>
            <w:tcW w:w="2628" w:type="dxa"/>
          </w:tcPr>
          <w:p w14:paraId="5AA70646" w14:textId="77777777" w:rsidR="00FF7522" w:rsidRDefault="00B3730D">
            <w:r>
              <w:t>Useful finance benchmark</w:t>
            </w:r>
          </w:p>
        </w:tc>
      </w:tr>
      <w:tr w:rsidR="00FF7522" w14:paraId="3972EABC" w14:textId="77777777">
        <w:tc>
          <w:tcPr>
            <w:tcW w:w="2628" w:type="dxa"/>
          </w:tcPr>
          <w:p w14:paraId="42B16BAC" w14:textId="77777777" w:rsidR="00FF7522" w:rsidRDefault="00B3730D">
            <w:r>
              <w:t>3-year net benefit</w:t>
            </w:r>
          </w:p>
        </w:tc>
        <w:tc>
          <w:tcPr>
            <w:tcW w:w="2628" w:type="dxa"/>
          </w:tcPr>
          <w:p w14:paraId="086E90E9" w14:textId="77777777" w:rsidR="00FF7522" w:rsidRDefault="00B3730D">
            <w:r>
              <w:t>$50,935</w:t>
            </w:r>
          </w:p>
        </w:tc>
        <w:tc>
          <w:tcPr>
            <w:tcW w:w="2628" w:type="dxa"/>
          </w:tcPr>
          <w:p w14:paraId="4EE94695" w14:textId="77777777" w:rsidR="00FF7522" w:rsidRDefault="00B3730D">
            <w:r>
              <w:t>$73,435</w:t>
            </w:r>
          </w:p>
        </w:tc>
        <w:tc>
          <w:tcPr>
            <w:tcW w:w="2628" w:type="dxa"/>
          </w:tcPr>
          <w:p w14:paraId="004E817A" w14:textId="77777777" w:rsidR="00FF7522" w:rsidRDefault="00B3730D">
            <w:r>
              <w:t>Longer-term business case reference</w:t>
            </w:r>
          </w:p>
        </w:tc>
      </w:tr>
    </w:tbl>
    <w:p w14:paraId="026A3D01" w14:textId="77777777" w:rsidR="00FF7522" w:rsidRDefault="00B3730D">
      <w:pPr>
        <w:pStyle w:val="Heading1"/>
      </w:pPr>
      <w:r>
        <w:t>6. Workflow-Specific Value Mapping</w:t>
      </w:r>
    </w:p>
    <w:tbl>
      <w:tblPr>
        <w:tblStyle w:val="TableGrid"/>
        <w:tblW w:w="0" w:type="auto"/>
        <w:tblLook w:val="04A0" w:firstRow="1" w:lastRow="0" w:firstColumn="1" w:lastColumn="0" w:noHBand="0" w:noVBand="1"/>
      </w:tblPr>
      <w:tblGrid>
        <w:gridCol w:w="2100"/>
        <w:gridCol w:w="2101"/>
        <w:gridCol w:w="2101"/>
        <w:gridCol w:w="2100"/>
        <w:gridCol w:w="2100"/>
      </w:tblGrid>
      <w:tr w:rsidR="00FF7522" w14:paraId="11A90342" w14:textId="77777777">
        <w:tc>
          <w:tcPr>
            <w:tcW w:w="2102" w:type="dxa"/>
            <w:shd w:val="clear" w:color="auto" w:fill="D9EAF7"/>
          </w:tcPr>
          <w:p w14:paraId="7FF1606E" w14:textId="77777777" w:rsidR="00FF7522" w:rsidRDefault="00B3730D">
            <w:r>
              <w:rPr>
                <w:b/>
              </w:rPr>
              <w:t>Workflow step</w:t>
            </w:r>
          </w:p>
        </w:tc>
        <w:tc>
          <w:tcPr>
            <w:tcW w:w="2102" w:type="dxa"/>
            <w:shd w:val="clear" w:color="auto" w:fill="D9EAF7"/>
          </w:tcPr>
          <w:p w14:paraId="620D8741" w14:textId="77777777" w:rsidR="00FF7522" w:rsidRDefault="00B3730D">
            <w:r>
              <w:rPr>
                <w:b/>
              </w:rPr>
              <w:t>Primary benefit driver</w:t>
            </w:r>
          </w:p>
        </w:tc>
        <w:tc>
          <w:tcPr>
            <w:tcW w:w="2102" w:type="dxa"/>
            <w:shd w:val="clear" w:color="auto" w:fill="D9EAF7"/>
          </w:tcPr>
          <w:p w14:paraId="40ED6CED" w14:textId="77777777" w:rsidR="00FF7522" w:rsidRDefault="00B3730D">
            <w:r>
              <w:rPr>
                <w:b/>
              </w:rPr>
              <w:t>Time impact</w:t>
            </w:r>
          </w:p>
        </w:tc>
        <w:tc>
          <w:tcPr>
            <w:tcW w:w="2102" w:type="dxa"/>
            <w:shd w:val="clear" w:color="auto" w:fill="D9EAF7"/>
          </w:tcPr>
          <w:p w14:paraId="0470AC00" w14:textId="77777777" w:rsidR="00FF7522" w:rsidRDefault="00B3730D">
            <w:r>
              <w:rPr>
                <w:b/>
              </w:rPr>
              <w:t>Dollar impact</w:t>
            </w:r>
          </w:p>
        </w:tc>
        <w:tc>
          <w:tcPr>
            <w:tcW w:w="2102" w:type="dxa"/>
            <w:shd w:val="clear" w:color="auto" w:fill="D9EAF7"/>
          </w:tcPr>
          <w:p w14:paraId="3850B039" w14:textId="77777777" w:rsidR="00FF7522" w:rsidRDefault="00B3730D">
            <w:r>
              <w:rPr>
                <w:b/>
              </w:rPr>
              <w:t>Why it matters</w:t>
            </w:r>
          </w:p>
        </w:tc>
      </w:tr>
      <w:tr w:rsidR="00FF7522" w14:paraId="5F5854DA" w14:textId="77777777">
        <w:tc>
          <w:tcPr>
            <w:tcW w:w="2102" w:type="dxa"/>
          </w:tcPr>
          <w:p w14:paraId="3C63B2D7" w14:textId="77777777" w:rsidR="00FF7522" w:rsidRDefault="00B3730D">
            <w:r>
              <w:t>Vendor roster lock submission</w:t>
            </w:r>
          </w:p>
        </w:tc>
        <w:tc>
          <w:tcPr>
            <w:tcW w:w="2102" w:type="dxa"/>
          </w:tcPr>
          <w:p w14:paraId="54C0C996" w14:textId="77777777" w:rsidR="00FF7522" w:rsidRDefault="00B3730D">
            <w:r>
              <w:t>Standardized intake</w:t>
            </w:r>
          </w:p>
        </w:tc>
        <w:tc>
          <w:tcPr>
            <w:tcW w:w="2102" w:type="dxa"/>
          </w:tcPr>
          <w:p w14:paraId="11A987B4" w14:textId="77777777" w:rsidR="00FF7522" w:rsidRDefault="00B3730D">
            <w:r>
              <w:t>Less follow-up for missing data</w:t>
            </w:r>
          </w:p>
        </w:tc>
        <w:tc>
          <w:tcPr>
            <w:tcW w:w="2102" w:type="dxa"/>
          </w:tcPr>
          <w:p w14:paraId="2B340CE1" w14:textId="77777777" w:rsidR="00FF7522" w:rsidRDefault="00B3730D">
            <w:r>
              <w:t>Indirect; reduces rework</w:t>
            </w:r>
          </w:p>
        </w:tc>
        <w:tc>
          <w:tcPr>
            <w:tcW w:w="2102" w:type="dxa"/>
          </w:tcPr>
          <w:p w14:paraId="2BDADD43" w14:textId="77777777" w:rsidR="00FF7522" w:rsidRDefault="00B3730D">
            <w:r>
              <w:t>Higher data consistency before processing</w:t>
            </w:r>
          </w:p>
        </w:tc>
      </w:tr>
      <w:tr w:rsidR="00FF7522" w14:paraId="0DEDAA1D" w14:textId="77777777">
        <w:tc>
          <w:tcPr>
            <w:tcW w:w="2102" w:type="dxa"/>
          </w:tcPr>
          <w:p w14:paraId="4E2768C5" w14:textId="77777777" w:rsidR="00FF7522" w:rsidRDefault="00B3730D">
            <w:r>
              <w:t>SharePoint ingestion</w:t>
            </w:r>
          </w:p>
        </w:tc>
        <w:tc>
          <w:tcPr>
            <w:tcW w:w="2102" w:type="dxa"/>
          </w:tcPr>
          <w:p w14:paraId="4BDB7C8E" w14:textId="77777777" w:rsidR="00FF7522" w:rsidRDefault="00B3730D">
            <w:r>
              <w:t>Automatic file landing in one source</w:t>
            </w:r>
          </w:p>
        </w:tc>
        <w:tc>
          <w:tcPr>
            <w:tcW w:w="2102" w:type="dxa"/>
          </w:tcPr>
          <w:p w14:paraId="1E6475BF" w14:textId="77777777" w:rsidR="00FF7522" w:rsidRDefault="00B3730D">
            <w:r>
              <w:t>Eliminates manual re-entry into tracking lists</w:t>
            </w:r>
          </w:p>
        </w:tc>
        <w:tc>
          <w:tcPr>
            <w:tcW w:w="2102" w:type="dxa"/>
          </w:tcPr>
          <w:p w14:paraId="73473D65" w14:textId="77777777" w:rsidR="00FF7522" w:rsidRDefault="00B3730D">
            <w:r>
              <w:t>Indirect labor reduction</w:t>
            </w:r>
          </w:p>
        </w:tc>
        <w:tc>
          <w:tcPr>
            <w:tcW w:w="2102" w:type="dxa"/>
          </w:tcPr>
          <w:p w14:paraId="600EE901" w14:textId="77777777" w:rsidR="00FF7522" w:rsidRDefault="00B3730D">
            <w:r>
              <w:t>Creates a single starting point for processing</w:t>
            </w:r>
          </w:p>
        </w:tc>
      </w:tr>
      <w:tr w:rsidR="00FF7522" w14:paraId="24634206" w14:textId="77777777">
        <w:tc>
          <w:tcPr>
            <w:tcW w:w="2102" w:type="dxa"/>
          </w:tcPr>
          <w:p w14:paraId="2DAD5ECA" w14:textId="77777777" w:rsidR="00FF7522" w:rsidRDefault="00B3730D">
            <w:r>
              <w:t>Power Automate trigger</w:t>
            </w:r>
          </w:p>
        </w:tc>
        <w:tc>
          <w:tcPr>
            <w:tcW w:w="2102" w:type="dxa"/>
          </w:tcPr>
          <w:p w14:paraId="3552857E" w14:textId="77777777" w:rsidR="00FF7522" w:rsidRDefault="00B3730D">
            <w:r>
              <w:t>Automatic processing and alerting</w:t>
            </w:r>
          </w:p>
        </w:tc>
        <w:tc>
          <w:tcPr>
            <w:tcW w:w="2102" w:type="dxa"/>
          </w:tcPr>
          <w:p w14:paraId="7F2DBEEC" w14:textId="77777777" w:rsidR="00FF7522" w:rsidRDefault="00B3730D">
            <w:r>
              <w:t>Removes repetitive admin steps</w:t>
            </w:r>
          </w:p>
        </w:tc>
        <w:tc>
          <w:tcPr>
            <w:tcW w:w="2102" w:type="dxa"/>
          </w:tcPr>
          <w:p w14:paraId="7B09E0D7" w14:textId="77777777" w:rsidR="00FF7522" w:rsidRDefault="00B3730D">
            <w:r>
              <w:t>Direct labor-saving driver</w:t>
            </w:r>
          </w:p>
        </w:tc>
        <w:tc>
          <w:tcPr>
            <w:tcW w:w="2102" w:type="dxa"/>
          </w:tcPr>
          <w:p w14:paraId="0537EE91" w14:textId="77777777" w:rsidR="00FF7522" w:rsidRDefault="00B3730D">
            <w:r>
              <w:t>Key source of recurring efficiency</w:t>
            </w:r>
          </w:p>
        </w:tc>
      </w:tr>
      <w:tr w:rsidR="00FF7522" w14:paraId="03605ACB" w14:textId="77777777">
        <w:tc>
          <w:tcPr>
            <w:tcW w:w="2102" w:type="dxa"/>
          </w:tcPr>
          <w:p w14:paraId="615857F5" w14:textId="77777777" w:rsidR="00FF7522" w:rsidRDefault="00B3730D">
            <w:r>
              <w:t>Parallel update + alert path</w:t>
            </w:r>
          </w:p>
        </w:tc>
        <w:tc>
          <w:tcPr>
            <w:tcW w:w="2102" w:type="dxa"/>
          </w:tcPr>
          <w:p w14:paraId="29D4ABB0" w14:textId="77777777" w:rsidR="00FF7522" w:rsidRDefault="00B3730D">
            <w:r>
              <w:t>No serial waiting for basic notifications</w:t>
            </w:r>
          </w:p>
        </w:tc>
        <w:tc>
          <w:tcPr>
            <w:tcW w:w="2102" w:type="dxa"/>
          </w:tcPr>
          <w:p w14:paraId="2AC42CF3" w14:textId="77777777" w:rsidR="00FF7522" w:rsidRDefault="00B3730D">
            <w:r>
              <w:t>Shorter cycle time</w:t>
            </w:r>
          </w:p>
        </w:tc>
        <w:tc>
          <w:tcPr>
            <w:tcW w:w="2102" w:type="dxa"/>
          </w:tcPr>
          <w:p w14:paraId="42DEB572" w14:textId="77777777" w:rsidR="00FF7522" w:rsidRDefault="00B3730D">
            <w:r>
              <w:t>Indirect labor and delay reduction</w:t>
            </w:r>
          </w:p>
        </w:tc>
        <w:tc>
          <w:tcPr>
            <w:tcW w:w="2102" w:type="dxa"/>
          </w:tcPr>
          <w:p w14:paraId="21A07AC7" w14:textId="77777777" w:rsidR="00FF7522" w:rsidRDefault="00B3730D">
            <w:r>
              <w:t>Accelerates handoff to IAM / WFM</w:t>
            </w:r>
          </w:p>
        </w:tc>
      </w:tr>
      <w:tr w:rsidR="00FF7522" w14:paraId="24357FC4" w14:textId="77777777">
        <w:tc>
          <w:tcPr>
            <w:tcW w:w="2102" w:type="dxa"/>
          </w:tcPr>
          <w:p w14:paraId="79E92FAA" w14:textId="77777777" w:rsidR="00FF7522" w:rsidRDefault="00B3730D">
            <w:r>
              <w:t>Validation checkpoint</w:t>
            </w:r>
          </w:p>
        </w:tc>
        <w:tc>
          <w:tcPr>
            <w:tcW w:w="2102" w:type="dxa"/>
          </w:tcPr>
          <w:p w14:paraId="73E5630F" w14:textId="77777777" w:rsidR="00FF7522" w:rsidRDefault="00B3730D">
            <w:r>
              <w:t>Catch defects early</w:t>
            </w:r>
          </w:p>
        </w:tc>
        <w:tc>
          <w:tcPr>
            <w:tcW w:w="2102" w:type="dxa"/>
          </w:tcPr>
          <w:p w14:paraId="19094771" w14:textId="77777777" w:rsidR="00FF7522" w:rsidRDefault="00B3730D">
            <w:r>
              <w:t>Avoids downstream cleanup</w:t>
            </w:r>
          </w:p>
        </w:tc>
        <w:tc>
          <w:tcPr>
            <w:tcW w:w="2102" w:type="dxa"/>
          </w:tcPr>
          <w:p w14:paraId="711D755D" w14:textId="77777777" w:rsidR="00FF7522" w:rsidRDefault="00B3730D">
            <w:r>
              <w:t>Avoided rework cost</w:t>
            </w:r>
          </w:p>
        </w:tc>
        <w:tc>
          <w:tcPr>
            <w:tcW w:w="2102" w:type="dxa"/>
          </w:tcPr>
          <w:p w14:paraId="4D67449B" w14:textId="77777777" w:rsidR="00FF7522" w:rsidRDefault="00B3730D">
            <w:r>
              <w:t>Protects profile build quality</w:t>
            </w:r>
          </w:p>
        </w:tc>
      </w:tr>
      <w:tr w:rsidR="00FF7522" w14:paraId="338279DC" w14:textId="77777777">
        <w:tc>
          <w:tcPr>
            <w:tcW w:w="2102" w:type="dxa"/>
          </w:tcPr>
          <w:p w14:paraId="575CA052" w14:textId="77777777" w:rsidR="00FF7522" w:rsidRDefault="00B3730D">
            <w:r>
              <w:t>Fieldglass + NUID creation</w:t>
            </w:r>
          </w:p>
        </w:tc>
        <w:tc>
          <w:tcPr>
            <w:tcW w:w="2102" w:type="dxa"/>
          </w:tcPr>
          <w:p w14:paraId="6A96F699" w14:textId="77777777" w:rsidR="00FF7522" w:rsidRDefault="00B3730D">
            <w:r>
              <w:t>Formal worker identity path</w:t>
            </w:r>
          </w:p>
        </w:tc>
        <w:tc>
          <w:tcPr>
            <w:tcW w:w="2102" w:type="dxa"/>
          </w:tcPr>
          <w:p w14:paraId="0ECF3D4E" w14:textId="77777777" w:rsidR="00FF7522" w:rsidRDefault="00B3730D">
            <w:r>
              <w:t>Reduces ambiguity and manual cross-checking</w:t>
            </w:r>
          </w:p>
        </w:tc>
        <w:tc>
          <w:tcPr>
            <w:tcW w:w="2102" w:type="dxa"/>
          </w:tcPr>
          <w:p w14:paraId="2657F13E" w14:textId="77777777" w:rsidR="00FF7522" w:rsidRDefault="00B3730D">
            <w:r>
              <w:t>Avoided rework cost</w:t>
            </w:r>
          </w:p>
        </w:tc>
        <w:tc>
          <w:tcPr>
            <w:tcW w:w="2102" w:type="dxa"/>
          </w:tcPr>
          <w:p w14:paraId="4F42A9CD" w14:textId="77777777" w:rsidR="00FF7522" w:rsidRDefault="00B3730D">
            <w:r>
              <w:t>Necessary for clean master roster creation</w:t>
            </w:r>
          </w:p>
        </w:tc>
      </w:tr>
      <w:tr w:rsidR="00FF7522" w14:paraId="47C0D812" w14:textId="77777777">
        <w:tc>
          <w:tcPr>
            <w:tcW w:w="2102" w:type="dxa"/>
          </w:tcPr>
          <w:p w14:paraId="129FFB5D" w14:textId="77777777" w:rsidR="00FF7522" w:rsidRDefault="00B3730D">
            <w:r>
              <w:t>Master roster</w:t>
            </w:r>
          </w:p>
        </w:tc>
        <w:tc>
          <w:tcPr>
            <w:tcW w:w="2102" w:type="dxa"/>
          </w:tcPr>
          <w:p w14:paraId="0DFED79F" w14:textId="77777777" w:rsidR="00FF7522" w:rsidRDefault="00B3730D">
            <w:r>
              <w:t>One governed dataset</w:t>
            </w:r>
          </w:p>
        </w:tc>
        <w:tc>
          <w:tcPr>
            <w:tcW w:w="2102" w:type="dxa"/>
          </w:tcPr>
          <w:p w14:paraId="058349E1" w14:textId="77777777" w:rsidR="00FF7522" w:rsidRDefault="00B3730D">
            <w:r>
              <w:t>Reduces reconciliation work</w:t>
            </w:r>
          </w:p>
        </w:tc>
        <w:tc>
          <w:tcPr>
            <w:tcW w:w="2102" w:type="dxa"/>
          </w:tcPr>
          <w:p w14:paraId="57F52B34" w14:textId="77777777" w:rsidR="00FF7522" w:rsidRDefault="00B3730D">
            <w:r>
              <w:t>Recurring labor avoidance</w:t>
            </w:r>
          </w:p>
        </w:tc>
        <w:tc>
          <w:tcPr>
            <w:tcW w:w="2102" w:type="dxa"/>
          </w:tcPr>
          <w:p w14:paraId="3F0BD176" w14:textId="77777777" w:rsidR="00FF7522" w:rsidRDefault="00B3730D">
            <w:r>
              <w:t>Improves downstream scheduling and reporting quality</w:t>
            </w:r>
          </w:p>
        </w:tc>
      </w:tr>
      <w:tr w:rsidR="00FF7522" w14:paraId="55F700A3" w14:textId="77777777">
        <w:tc>
          <w:tcPr>
            <w:tcW w:w="2102" w:type="dxa"/>
          </w:tcPr>
          <w:p w14:paraId="213EC424" w14:textId="77777777" w:rsidR="00FF7522" w:rsidRDefault="00B3730D">
            <w:r>
              <w:t>Bulk onboarding in IEX</w:t>
            </w:r>
          </w:p>
        </w:tc>
        <w:tc>
          <w:tcPr>
            <w:tcW w:w="2102" w:type="dxa"/>
          </w:tcPr>
          <w:p w14:paraId="52875D99" w14:textId="77777777" w:rsidR="00FF7522" w:rsidRDefault="00B3730D">
            <w:r>
              <w:t>Scales creation for classes of 15–20</w:t>
            </w:r>
          </w:p>
        </w:tc>
        <w:tc>
          <w:tcPr>
            <w:tcW w:w="2102" w:type="dxa"/>
          </w:tcPr>
          <w:p w14:paraId="635887E7" w14:textId="77777777" w:rsidR="00FF7522" w:rsidRDefault="00B3730D">
            <w:r>
              <w:t>Higher throughput than repeated manual setup</w:t>
            </w:r>
          </w:p>
        </w:tc>
        <w:tc>
          <w:tcPr>
            <w:tcW w:w="2102" w:type="dxa"/>
          </w:tcPr>
          <w:p w14:paraId="13AA713F" w14:textId="77777777" w:rsidR="00FF7522" w:rsidRDefault="00B3730D">
            <w:r>
              <w:t>Strong direct labor-saving driver</w:t>
            </w:r>
          </w:p>
        </w:tc>
        <w:tc>
          <w:tcPr>
            <w:tcW w:w="2102" w:type="dxa"/>
          </w:tcPr>
          <w:p w14:paraId="757B3F2E" w14:textId="77777777" w:rsidR="00FF7522" w:rsidRDefault="00B3730D">
            <w:r>
              <w:t>Best candidate for repeatable annual savings</w:t>
            </w:r>
          </w:p>
        </w:tc>
      </w:tr>
      <w:tr w:rsidR="00FF7522" w14:paraId="1B2C8B7B" w14:textId="77777777">
        <w:tc>
          <w:tcPr>
            <w:tcW w:w="2102" w:type="dxa"/>
          </w:tcPr>
          <w:p w14:paraId="0471CA1C" w14:textId="77777777" w:rsidR="00FF7522" w:rsidRDefault="00B3730D">
            <w:r>
              <w:t>Governance &amp; monitoring</w:t>
            </w:r>
          </w:p>
        </w:tc>
        <w:tc>
          <w:tcPr>
            <w:tcW w:w="2102" w:type="dxa"/>
          </w:tcPr>
          <w:p w14:paraId="254BB9A2" w14:textId="77777777" w:rsidR="00FF7522" w:rsidRDefault="00B3730D">
            <w:r>
              <w:t>Less drift, fewer workarounds</w:t>
            </w:r>
          </w:p>
        </w:tc>
        <w:tc>
          <w:tcPr>
            <w:tcW w:w="2102" w:type="dxa"/>
          </w:tcPr>
          <w:p w14:paraId="6A479593" w14:textId="77777777" w:rsidR="00FF7522" w:rsidRDefault="00B3730D">
            <w:r>
              <w:t>Reduces firefighting</w:t>
            </w:r>
          </w:p>
        </w:tc>
        <w:tc>
          <w:tcPr>
            <w:tcW w:w="2102" w:type="dxa"/>
          </w:tcPr>
          <w:p w14:paraId="1179E768" w14:textId="77777777" w:rsidR="00FF7522" w:rsidRDefault="00B3730D">
            <w:r>
              <w:t>Indirect but material</w:t>
            </w:r>
          </w:p>
        </w:tc>
        <w:tc>
          <w:tcPr>
            <w:tcW w:w="2102" w:type="dxa"/>
          </w:tcPr>
          <w:p w14:paraId="62DD9DE5" w14:textId="77777777" w:rsidR="00FF7522" w:rsidRDefault="00B3730D">
            <w:r>
              <w:t>Protects benefits from eroding over time</w:t>
            </w:r>
          </w:p>
        </w:tc>
      </w:tr>
    </w:tbl>
    <w:p w14:paraId="7067BC3F" w14:textId="77777777" w:rsidR="00FF7522" w:rsidRDefault="00B3730D">
      <w:pPr>
        <w:pStyle w:val="Heading1"/>
      </w:pPr>
      <w:r>
        <w:t>7. KPI and Benefit-Tracking Framework</w:t>
      </w:r>
    </w:p>
    <w:p w14:paraId="3B5584A5" w14:textId="77777777" w:rsidR="00FF7522" w:rsidRDefault="00B3730D">
      <w:r>
        <w:t>To convert the modeled business case into a measured business case, the following KPIs should be tracked from day 1 of pilot and then monthly after go-live:</w:t>
      </w:r>
    </w:p>
    <w:tbl>
      <w:tblPr>
        <w:tblStyle w:val="TableGrid"/>
        <w:tblW w:w="0" w:type="auto"/>
        <w:tblLook w:val="04A0" w:firstRow="1" w:lastRow="0" w:firstColumn="1" w:lastColumn="0" w:noHBand="0" w:noVBand="1"/>
      </w:tblPr>
      <w:tblGrid>
        <w:gridCol w:w="2101"/>
        <w:gridCol w:w="2101"/>
        <w:gridCol w:w="2099"/>
        <w:gridCol w:w="2100"/>
        <w:gridCol w:w="2101"/>
      </w:tblGrid>
      <w:tr w:rsidR="00FF7522" w14:paraId="48BCF9C2" w14:textId="77777777">
        <w:tc>
          <w:tcPr>
            <w:tcW w:w="2102" w:type="dxa"/>
            <w:shd w:val="clear" w:color="auto" w:fill="D9EAF7"/>
          </w:tcPr>
          <w:p w14:paraId="3A1B8916" w14:textId="77777777" w:rsidR="00FF7522" w:rsidRDefault="00B3730D">
            <w:r>
              <w:rPr>
                <w:b/>
              </w:rPr>
              <w:t>KPI</w:t>
            </w:r>
          </w:p>
        </w:tc>
        <w:tc>
          <w:tcPr>
            <w:tcW w:w="2102" w:type="dxa"/>
            <w:shd w:val="clear" w:color="auto" w:fill="D9EAF7"/>
          </w:tcPr>
          <w:p w14:paraId="3DA1D686" w14:textId="77777777" w:rsidR="00FF7522" w:rsidRDefault="00B3730D">
            <w:r>
              <w:rPr>
                <w:b/>
              </w:rPr>
              <w:t>Definition</w:t>
            </w:r>
          </w:p>
        </w:tc>
        <w:tc>
          <w:tcPr>
            <w:tcW w:w="2102" w:type="dxa"/>
            <w:shd w:val="clear" w:color="auto" w:fill="D9EAF7"/>
          </w:tcPr>
          <w:p w14:paraId="312DFB14" w14:textId="77777777" w:rsidR="00FF7522" w:rsidRDefault="00B3730D">
            <w:r>
              <w:rPr>
                <w:b/>
              </w:rPr>
              <w:t>Baseline needed?</w:t>
            </w:r>
          </w:p>
        </w:tc>
        <w:tc>
          <w:tcPr>
            <w:tcW w:w="2102" w:type="dxa"/>
            <w:shd w:val="clear" w:color="auto" w:fill="D9EAF7"/>
          </w:tcPr>
          <w:p w14:paraId="5CF52138" w14:textId="77777777" w:rsidR="00FF7522" w:rsidRDefault="00B3730D">
            <w:r>
              <w:rPr>
                <w:b/>
              </w:rPr>
              <w:t>Financial linkage</w:t>
            </w:r>
          </w:p>
        </w:tc>
        <w:tc>
          <w:tcPr>
            <w:tcW w:w="2102" w:type="dxa"/>
            <w:shd w:val="clear" w:color="auto" w:fill="D9EAF7"/>
          </w:tcPr>
          <w:p w14:paraId="53FB180C" w14:textId="77777777" w:rsidR="00FF7522" w:rsidRDefault="00B3730D">
            <w:r>
              <w:rPr>
                <w:b/>
              </w:rPr>
              <w:t>Recommended owner</w:t>
            </w:r>
          </w:p>
        </w:tc>
      </w:tr>
      <w:tr w:rsidR="00FF7522" w14:paraId="4E6FB845" w14:textId="77777777">
        <w:tc>
          <w:tcPr>
            <w:tcW w:w="2102" w:type="dxa"/>
          </w:tcPr>
          <w:p w14:paraId="15A93A04" w14:textId="77777777" w:rsidR="00FF7522" w:rsidRDefault="00B3730D">
            <w:r>
              <w:t>Cycle time to profile readiness</w:t>
            </w:r>
          </w:p>
        </w:tc>
        <w:tc>
          <w:tcPr>
            <w:tcW w:w="2102" w:type="dxa"/>
          </w:tcPr>
          <w:p w14:paraId="2ED5B9B4" w14:textId="77777777" w:rsidR="00FF7522" w:rsidRDefault="00B3730D">
            <w:r>
              <w:t>Time from vendor file receipt to profile created / ready</w:t>
            </w:r>
          </w:p>
        </w:tc>
        <w:tc>
          <w:tcPr>
            <w:tcW w:w="2102" w:type="dxa"/>
          </w:tcPr>
          <w:p w14:paraId="5B7FDD25" w14:textId="77777777" w:rsidR="00FF7522" w:rsidRDefault="00B3730D">
            <w:r>
              <w:t>Yes</w:t>
            </w:r>
          </w:p>
        </w:tc>
        <w:tc>
          <w:tcPr>
            <w:tcW w:w="2102" w:type="dxa"/>
          </w:tcPr>
          <w:p w14:paraId="7952E2E3" w14:textId="77777777" w:rsidR="00FF7522" w:rsidRDefault="00B3730D">
            <w:r>
              <w:t>Faster readiness reduces paid non-productive waiting and admin effort</w:t>
            </w:r>
          </w:p>
        </w:tc>
        <w:tc>
          <w:tcPr>
            <w:tcW w:w="2102" w:type="dxa"/>
          </w:tcPr>
          <w:p w14:paraId="20E24E7A" w14:textId="77777777" w:rsidR="00FF7522" w:rsidRDefault="00B3730D">
            <w:r>
              <w:t>WFM + IAM</w:t>
            </w:r>
          </w:p>
        </w:tc>
      </w:tr>
      <w:tr w:rsidR="00FF7522" w14:paraId="2D374BB7" w14:textId="77777777">
        <w:tc>
          <w:tcPr>
            <w:tcW w:w="2102" w:type="dxa"/>
          </w:tcPr>
          <w:p w14:paraId="3D54A863" w14:textId="77777777" w:rsidR="00FF7522" w:rsidRDefault="00B3730D">
            <w:r>
              <w:t>Rejected roster files</w:t>
            </w:r>
          </w:p>
        </w:tc>
        <w:tc>
          <w:tcPr>
            <w:tcW w:w="2102" w:type="dxa"/>
          </w:tcPr>
          <w:p w14:paraId="0A41CA1C" w14:textId="77777777" w:rsidR="00FF7522" w:rsidRDefault="00B3730D">
            <w:r>
              <w:t xml:space="preserve">Count of files rejected for missing data or </w:t>
            </w:r>
            <w:r>
              <w:lastRenderedPageBreak/>
              <w:t>bad format</w:t>
            </w:r>
          </w:p>
        </w:tc>
        <w:tc>
          <w:tcPr>
            <w:tcW w:w="2102" w:type="dxa"/>
          </w:tcPr>
          <w:p w14:paraId="55239733" w14:textId="77777777" w:rsidR="00FF7522" w:rsidRDefault="00B3730D">
            <w:r>
              <w:lastRenderedPageBreak/>
              <w:t>Yes</w:t>
            </w:r>
          </w:p>
        </w:tc>
        <w:tc>
          <w:tcPr>
            <w:tcW w:w="2102" w:type="dxa"/>
          </w:tcPr>
          <w:p w14:paraId="709CC275" w14:textId="77777777" w:rsidR="00FF7522" w:rsidRDefault="00B3730D">
            <w:r>
              <w:t xml:space="preserve">Lower count means less rework and fewer </w:t>
            </w:r>
            <w:r>
              <w:lastRenderedPageBreak/>
              <w:t>delay costs</w:t>
            </w:r>
          </w:p>
        </w:tc>
        <w:tc>
          <w:tcPr>
            <w:tcW w:w="2102" w:type="dxa"/>
          </w:tcPr>
          <w:p w14:paraId="7F679C27" w14:textId="77777777" w:rsidR="00FF7522" w:rsidRDefault="00B3730D">
            <w:r>
              <w:lastRenderedPageBreak/>
              <w:t>Vendor + WFM</w:t>
            </w:r>
          </w:p>
        </w:tc>
      </w:tr>
      <w:tr w:rsidR="00FF7522" w14:paraId="63C90CFE" w14:textId="77777777">
        <w:tc>
          <w:tcPr>
            <w:tcW w:w="2102" w:type="dxa"/>
          </w:tcPr>
          <w:p w14:paraId="1DAF9E3F" w14:textId="77777777" w:rsidR="00FF7522" w:rsidRDefault="00B3730D">
            <w:r>
              <w:t>Duplicate records prevented/corrected</w:t>
            </w:r>
          </w:p>
        </w:tc>
        <w:tc>
          <w:tcPr>
            <w:tcW w:w="2102" w:type="dxa"/>
          </w:tcPr>
          <w:p w14:paraId="6568DA52" w14:textId="77777777" w:rsidR="00FF7522" w:rsidRDefault="00B3730D">
            <w:r>
              <w:t>Count of duplicate identity or profile issues</w:t>
            </w:r>
          </w:p>
        </w:tc>
        <w:tc>
          <w:tcPr>
            <w:tcW w:w="2102" w:type="dxa"/>
          </w:tcPr>
          <w:p w14:paraId="55764F03" w14:textId="77777777" w:rsidR="00FF7522" w:rsidRDefault="00B3730D">
            <w:r>
              <w:t>Yes</w:t>
            </w:r>
          </w:p>
        </w:tc>
        <w:tc>
          <w:tcPr>
            <w:tcW w:w="2102" w:type="dxa"/>
          </w:tcPr>
          <w:p w14:paraId="0D5503AC" w14:textId="77777777" w:rsidR="00FF7522" w:rsidRDefault="00B3730D">
            <w:r>
              <w:t>Lower cleanup effort and lower reporting distortion</w:t>
            </w:r>
          </w:p>
        </w:tc>
        <w:tc>
          <w:tcPr>
            <w:tcW w:w="2102" w:type="dxa"/>
          </w:tcPr>
          <w:p w14:paraId="625FAE15" w14:textId="77777777" w:rsidR="00FF7522" w:rsidRDefault="00B3730D">
            <w:r>
              <w:t>IAM + WFM</w:t>
            </w:r>
          </w:p>
        </w:tc>
      </w:tr>
      <w:tr w:rsidR="00FF7522" w14:paraId="621FC9F8" w14:textId="77777777">
        <w:tc>
          <w:tcPr>
            <w:tcW w:w="2102" w:type="dxa"/>
          </w:tcPr>
          <w:p w14:paraId="4FA403BD" w14:textId="77777777" w:rsidR="00FF7522" w:rsidRDefault="00B3730D">
            <w:r>
              <w:t>Manual touchpoints per onboarding cohort</w:t>
            </w:r>
          </w:p>
        </w:tc>
        <w:tc>
          <w:tcPr>
            <w:tcW w:w="2102" w:type="dxa"/>
          </w:tcPr>
          <w:p w14:paraId="6F55E46A" w14:textId="77777777" w:rsidR="00FF7522" w:rsidRDefault="00B3730D">
            <w:r>
              <w:t>Count of human processing steps required</w:t>
            </w:r>
          </w:p>
        </w:tc>
        <w:tc>
          <w:tcPr>
            <w:tcW w:w="2102" w:type="dxa"/>
          </w:tcPr>
          <w:p w14:paraId="65F0DFC2" w14:textId="77777777" w:rsidR="00FF7522" w:rsidRDefault="00B3730D">
            <w:r>
              <w:t>Yes</w:t>
            </w:r>
          </w:p>
        </w:tc>
        <w:tc>
          <w:tcPr>
            <w:tcW w:w="2102" w:type="dxa"/>
          </w:tcPr>
          <w:p w14:paraId="49A6DFB6" w14:textId="77777777" w:rsidR="00FF7522" w:rsidRDefault="00B3730D">
            <w:r>
              <w:t>Direct driver of labor savings</w:t>
            </w:r>
          </w:p>
        </w:tc>
        <w:tc>
          <w:tcPr>
            <w:tcW w:w="2102" w:type="dxa"/>
          </w:tcPr>
          <w:p w14:paraId="7435811C" w14:textId="77777777" w:rsidR="00FF7522" w:rsidRDefault="00B3730D">
            <w:r>
              <w:t>WFM process owner</w:t>
            </w:r>
          </w:p>
        </w:tc>
      </w:tr>
      <w:tr w:rsidR="00FF7522" w14:paraId="54F8BDDF" w14:textId="77777777">
        <w:tc>
          <w:tcPr>
            <w:tcW w:w="2102" w:type="dxa"/>
          </w:tcPr>
          <w:p w14:paraId="76AB678B" w14:textId="77777777" w:rsidR="00FF7522" w:rsidRDefault="00B3730D">
            <w:r>
              <w:t>Profiles created per admin hour</w:t>
            </w:r>
          </w:p>
        </w:tc>
        <w:tc>
          <w:tcPr>
            <w:tcW w:w="2102" w:type="dxa"/>
          </w:tcPr>
          <w:p w14:paraId="386D5B80" w14:textId="77777777" w:rsidR="00FF7522" w:rsidRDefault="00B3730D">
            <w:r>
              <w:t>Throughput rate for setup activity</w:t>
            </w:r>
          </w:p>
        </w:tc>
        <w:tc>
          <w:tcPr>
            <w:tcW w:w="2102" w:type="dxa"/>
          </w:tcPr>
          <w:p w14:paraId="604D630B" w14:textId="77777777" w:rsidR="00FF7522" w:rsidRDefault="00B3730D">
            <w:r>
              <w:t>Yes</w:t>
            </w:r>
          </w:p>
        </w:tc>
        <w:tc>
          <w:tcPr>
            <w:tcW w:w="2102" w:type="dxa"/>
          </w:tcPr>
          <w:p w14:paraId="35F3BEDF" w14:textId="77777777" w:rsidR="00FF7522" w:rsidRDefault="00B3730D">
            <w:r>
              <w:t>Direct productivity metric</w:t>
            </w:r>
          </w:p>
        </w:tc>
        <w:tc>
          <w:tcPr>
            <w:tcW w:w="2102" w:type="dxa"/>
          </w:tcPr>
          <w:p w14:paraId="092327A4" w14:textId="77777777" w:rsidR="00FF7522" w:rsidRDefault="00B3730D">
            <w:r>
              <w:t>WFM / IAM</w:t>
            </w:r>
          </w:p>
        </w:tc>
      </w:tr>
      <w:tr w:rsidR="00FF7522" w14:paraId="19200CAF" w14:textId="77777777">
        <w:tc>
          <w:tcPr>
            <w:tcW w:w="2102" w:type="dxa"/>
          </w:tcPr>
          <w:p w14:paraId="70945C03" w14:textId="77777777" w:rsidR="00FF7522" w:rsidRDefault="00B3730D">
            <w:r>
              <w:t>SharePoint-to-master-roster variance</w:t>
            </w:r>
          </w:p>
        </w:tc>
        <w:tc>
          <w:tcPr>
            <w:tcW w:w="2102" w:type="dxa"/>
          </w:tcPr>
          <w:p w14:paraId="77F2A6DC" w14:textId="77777777" w:rsidR="00FF7522" w:rsidRDefault="00B3730D">
            <w:r>
              <w:t>Mismatch count between staging and mastered records</w:t>
            </w:r>
          </w:p>
        </w:tc>
        <w:tc>
          <w:tcPr>
            <w:tcW w:w="2102" w:type="dxa"/>
          </w:tcPr>
          <w:p w14:paraId="3C1B5E46" w14:textId="77777777" w:rsidR="00FF7522" w:rsidRDefault="00B3730D">
            <w:r>
              <w:t>Yes</w:t>
            </w:r>
          </w:p>
        </w:tc>
        <w:tc>
          <w:tcPr>
            <w:tcW w:w="2102" w:type="dxa"/>
          </w:tcPr>
          <w:p w14:paraId="5AF58659" w14:textId="77777777" w:rsidR="00FF7522" w:rsidRDefault="00B3730D">
            <w:r>
              <w:t>Lower reconciliation effort and stronger trust in data</w:t>
            </w:r>
          </w:p>
        </w:tc>
        <w:tc>
          <w:tcPr>
            <w:tcW w:w="2102" w:type="dxa"/>
          </w:tcPr>
          <w:p w14:paraId="4AC12613" w14:textId="77777777" w:rsidR="00FF7522" w:rsidRDefault="00B3730D">
            <w:r>
              <w:t>Data governance owner</w:t>
            </w:r>
          </w:p>
        </w:tc>
      </w:tr>
      <w:tr w:rsidR="00FF7522" w14:paraId="362ADE10" w14:textId="77777777">
        <w:tc>
          <w:tcPr>
            <w:tcW w:w="2102" w:type="dxa"/>
          </w:tcPr>
          <w:p w14:paraId="230E88AE" w14:textId="77777777" w:rsidR="00FF7522" w:rsidRDefault="00B3730D">
            <w:r>
              <w:t>Profile creation defect rate</w:t>
            </w:r>
          </w:p>
        </w:tc>
        <w:tc>
          <w:tcPr>
            <w:tcW w:w="2102" w:type="dxa"/>
          </w:tcPr>
          <w:p w14:paraId="3D274A77" w14:textId="77777777" w:rsidR="00FF7522" w:rsidRDefault="00B3730D">
            <w:r>
              <w:t>Errors found after account/profile setup</w:t>
            </w:r>
          </w:p>
        </w:tc>
        <w:tc>
          <w:tcPr>
            <w:tcW w:w="2102" w:type="dxa"/>
          </w:tcPr>
          <w:p w14:paraId="4482E6A6" w14:textId="77777777" w:rsidR="00FF7522" w:rsidRDefault="00B3730D">
            <w:r>
              <w:t>Yes</w:t>
            </w:r>
          </w:p>
        </w:tc>
        <w:tc>
          <w:tcPr>
            <w:tcW w:w="2102" w:type="dxa"/>
          </w:tcPr>
          <w:p w14:paraId="1649E946" w14:textId="77777777" w:rsidR="00FF7522" w:rsidRDefault="00B3730D">
            <w:r>
              <w:t>Direct rework and access-delay cost</w:t>
            </w:r>
          </w:p>
        </w:tc>
        <w:tc>
          <w:tcPr>
            <w:tcW w:w="2102" w:type="dxa"/>
          </w:tcPr>
          <w:p w14:paraId="1656E554" w14:textId="77777777" w:rsidR="00FF7522" w:rsidRDefault="00B3730D">
            <w:r>
              <w:t>IAM / QA</w:t>
            </w:r>
          </w:p>
        </w:tc>
      </w:tr>
      <w:tr w:rsidR="00FF7522" w14:paraId="605213B2" w14:textId="77777777">
        <w:tc>
          <w:tcPr>
            <w:tcW w:w="2102" w:type="dxa"/>
          </w:tcPr>
          <w:p w14:paraId="215E21FC" w14:textId="77777777" w:rsidR="00FF7522" w:rsidRDefault="00B3730D">
            <w:r>
              <w:t>Vendor correction SLA compliance</w:t>
            </w:r>
          </w:p>
        </w:tc>
        <w:tc>
          <w:tcPr>
            <w:tcW w:w="2102" w:type="dxa"/>
          </w:tcPr>
          <w:p w14:paraId="47D65A12" w14:textId="77777777" w:rsidR="00FF7522" w:rsidRDefault="00B3730D">
            <w:r>
              <w:t>Percent of corrections returned within target SLA</w:t>
            </w:r>
          </w:p>
        </w:tc>
        <w:tc>
          <w:tcPr>
            <w:tcW w:w="2102" w:type="dxa"/>
          </w:tcPr>
          <w:p w14:paraId="0746FD2F" w14:textId="77777777" w:rsidR="00FF7522" w:rsidRDefault="00B3730D">
            <w:r>
              <w:t>Yes</w:t>
            </w:r>
          </w:p>
        </w:tc>
        <w:tc>
          <w:tcPr>
            <w:tcW w:w="2102" w:type="dxa"/>
          </w:tcPr>
          <w:p w14:paraId="0C2A6F97" w14:textId="77777777" w:rsidR="00FF7522" w:rsidRDefault="00B3730D">
            <w:r>
              <w:t>Protects schedule and go-live date</w:t>
            </w:r>
          </w:p>
        </w:tc>
        <w:tc>
          <w:tcPr>
            <w:tcW w:w="2102" w:type="dxa"/>
          </w:tcPr>
          <w:p w14:paraId="754C9DAC" w14:textId="77777777" w:rsidR="00FF7522" w:rsidRDefault="00B3730D">
            <w:r>
              <w:t>Vendor owner</w:t>
            </w:r>
          </w:p>
        </w:tc>
      </w:tr>
    </w:tbl>
    <w:p w14:paraId="3C392250" w14:textId="77777777" w:rsidR="00FF7522" w:rsidRDefault="00B3730D">
      <w:pPr>
        <w:pStyle w:val="Heading1"/>
      </w:pPr>
      <w:r>
        <w:t>8. Executive Readout</w:t>
      </w:r>
    </w:p>
    <w:p w14:paraId="41512713" w14:textId="77777777" w:rsidR="00FF7522" w:rsidRDefault="00B3730D">
      <w:pPr>
        <w:pStyle w:val="ListBullet"/>
      </w:pPr>
      <w:r>
        <w:t>This workflow is financially credible because similar WFM automation already produced documented savings of $22,500–$30,000 per year with 94%–165% year-1 ROI and 4–6 month payback.</w:t>
      </w:r>
    </w:p>
    <w:p w14:paraId="1EC2A063" w14:textId="77777777" w:rsidR="00FF7522" w:rsidRDefault="00B3730D">
      <w:pPr>
        <w:pStyle w:val="ListBullet"/>
      </w:pPr>
      <w:r>
        <w:t>The most defensible position-based value is capacity recovery, not position elimination: 1,125–1,500 hours per year for a 3-person admin/analyst team, equivalent to 0.54–0.72 FTE.</w:t>
      </w:r>
    </w:p>
    <w:p w14:paraId="46DCD439" w14:textId="77777777" w:rsidR="00FF7522" w:rsidRDefault="00B3730D">
      <w:pPr>
        <w:pStyle w:val="ListBullet"/>
      </w:pPr>
      <w:r>
        <w:t>The workflow likely creates additional value through avoided errors, avoided duplicate records, and faster provisioning, but those amounts should be measured during rollout because the current source set does not provide a numeric defect baseline.</w:t>
      </w:r>
    </w:p>
    <w:p w14:paraId="6EBCDFB5" w14:textId="77777777" w:rsidR="00FF7522" w:rsidRDefault="00B3730D">
      <w:pPr>
        <w:pStyle w:val="ListBullet"/>
      </w:pPr>
      <w:r>
        <w:t>Centralized governance, one source of truth, and removal of shadow tooling protect the savings and make the process more audit-ready.</w:t>
      </w:r>
    </w:p>
    <w:p w14:paraId="54B50EA8" w14:textId="77777777" w:rsidR="00FF7522" w:rsidRDefault="00B3730D">
      <w:pPr>
        <w:pStyle w:val="Heading1"/>
      </w:pPr>
      <w:r>
        <w:t>9. Source Notes and Evidence Classification</w:t>
      </w:r>
    </w:p>
    <w:p w14:paraId="52A9DFF0" w14:textId="77777777" w:rsidR="00FF7522" w:rsidRDefault="00B3730D">
      <w:r>
        <w:t>The document uses three evidence classes so leadership can distinguish facts from calculations and implementation recommendations:</w:t>
      </w:r>
    </w:p>
    <w:p w14:paraId="0ED3AEAF" w14:textId="77777777" w:rsidR="00FF7522" w:rsidRDefault="00B3730D">
      <w:pPr>
        <w:pStyle w:val="ListBullet"/>
      </w:pPr>
      <w:r>
        <w:t>Documented benchmark: directly stated in internal source material.</w:t>
      </w:r>
    </w:p>
    <w:p w14:paraId="2AD805A5" w14:textId="77777777" w:rsidR="00FF7522" w:rsidRDefault="00B3730D">
      <w:pPr>
        <w:pStyle w:val="ListBullet"/>
      </w:pPr>
      <w:r>
        <w:t>Calculated from benchmark: arithmetic performed from a documented internal benchmark (for example team hours or FTE equivalent).</w:t>
      </w:r>
    </w:p>
    <w:p w14:paraId="553255AB" w14:textId="77777777" w:rsidR="00FF7522" w:rsidRDefault="00B3730D">
      <w:pPr>
        <w:pStyle w:val="ListBullet"/>
      </w:pPr>
      <w:r>
        <w:t>Measurement recommendation: important impact area identified in source material, but no exact numeric baseline was available in the sources reviewed.</w:t>
      </w:r>
    </w:p>
    <w:tbl>
      <w:tblPr>
        <w:tblStyle w:val="TableGrid"/>
        <w:tblW w:w="0" w:type="auto"/>
        <w:tblLook w:val="04A0" w:firstRow="1" w:lastRow="0" w:firstColumn="1" w:lastColumn="0" w:noHBand="0" w:noVBand="1"/>
      </w:tblPr>
      <w:tblGrid>
        <w:gridCol w:w="3501"/>
        <w:gridCol w:w="3500"/>
        <w:gridCol w:w="3501"/>
      </w:tblGrid>
      <w:tr w:rsidR="00FF7522" w14:paraId="601599F1" w14:textId="77777777">
        <w:tc>
          <w:tcPr>
            <w:tcW w:w="3504" w:type="dxa"/>
            <w:shd w:val="clear" w:color="auto" w:fill="D9EAF7"/>
          </w:tcPr>
          <w:p w14:paraId="67D63D4F" w14:textId="77777777" w:rsidR="00FF7522" w:rsidRDefault="00B3730D">
            <w:r>
              <w:rPr>
                <w:b/>
              </w:rPr>
              <w:t>Source</w:t>
            </w:r>
          </w:p>
        </w:tc>
        <w:tc>
          <w:tcPr>
            <w:tcW w:w="3504" w:type="dxa"/>
            <w:shd w:val="clear" w:color="auto" w:fill="D9EAF7"/>
          </w:tcPr>
          <w:p w14:paraId="586D4E0D" w14:textId="77777777" w:rsidR="00FF7522" w:rsidRDefault="00B3730D">
            <w:r>
              <w:rPr>
                <w:b/>
              </w:rPr>
              <w:t>What it supported</w:t>
            </w:r>
          </w:p>
        </w:tc>
        <w:tc>
          <w:tcPr>
            <w:tcW w:w="3504" w:type="dxa"/>
            <w:shd w:val="clear" w:color="auto" w:fill="D9EAF7"/>
          </w:tcPr>
          <w:p w14:paraId="1DAB7E4C" w14:textId="77777777" w:rsidR="00FF7522" w:rsidRDefault="00B3730D">
            <w:r>
              <w:rPr>
                <w:b/>
              </w:rPr>
              <w:t>Reference ID</w:t>
            </w:r>
          </w:p>
        </w:tc>
      </w:tr>
      <w:tr w:rsidR="00FF7522" w14:paraId="3D68F651" w14:textId="77777777">
        <w:tc>
          <w:tcPr>
            <w:tcW w:w="3504" w:type="dxa"/>
          </w:tcPr>
          <w:p w14:paraId="31722075" w14:textId="77777777" w:rsidR="00FF7522" w:rsidRDefault="00B3730D">
            <w:r>
              <w:t>WFM Helper Suite - Executive Report</w:t>
            </w:r>
          </w:p>
        </w:tc>
        <w:tc>
          <w:tcPr>
            <w:tcW w:w="3504" w:type="dxa"/>
          </w:tcPr>
          <w:p w14:paraId="168C28A3" w14:textId="77777777" w:rsidR="00FF7522" w:rsidRDefault="00B3730D">
            <w:r>
              <w:t>Investment, annual savings, ROI, payback, time savings per analyst, 45–60 minute manual extraction benchmark</w:t>
            </w:r>
          </w:p>
        </w:tc>
        <w:tc>
          <w:tcPr>
            <w:tcW w:w="3504" w:type="dxa"/>
          </w:tcPr>
          <w:p w14:paraId="302FA0C1" w14:textId="77777777" w:rsidR="00FF7522" w:rsidRDefault="00B3730D">
            <w:r>
              <w:t>turn8search42 / turn8search43</w:t>
            </w:r>
          </w:p>
        </w:tc>
      </w:tr>
      <w:tr w:rsidR="00FF7522" w14:paraId="35618F07" w14:textId="77777777">
        <w:tc>
          <w:tcPr>
            <w:tcW w:w="3504" w:type="dxa"/>
          </w:tcPr>
          <w:p w14:paraId="5449B6F9" w14:textId="77777777" w:rsidR="00FF7522" w:rsidRDefault="00B3730D">
            <w:r>
              <w:t>WFM Key Wins, Impact, and Auto</w:t>
            </w:r>
          </w:p>
        </w:tc>
        <w:tc>
          <w:tcPr>
            <w:tcW w:w="3504" w:type="dxa"/>
          </w:tcPr>
          <w:p w14:paraId="06E8ABD6" w14:textId="77777777" w:rsidR="00FF7522" w:rsidRDefault="00B3730D">
            <w:r>
              <w:t>40%+ manual process reduction, 4,100+ productive hours recovered in one quarter, 16+ LOBs, recurring savings framing</w:t>
            </w:r>
          </w:p>
        </w:tc>
        <w:tc>
          <w:tcPr>
            <w:tcW w:w="3504" w:type="dxa"/>
          </w:tcPr>
          <w:p w14:paraId="073DB6CE" w14:textId="77777777" w:rsidR="00FF7522" w:rsidRDefault="00B3730D">
            <w:r>
              <w:t>turn8search46</w:t>
            </w:r>
          </w:p>
        </w:tc>
      </w:tr>
      <w:tr w:rsidR="00FF7522" w14:paraId="4688254E" w14:textId="77777777">
        <w:tc>
          <w:tcPr>
            <w:tcW w:w="3504" w:type="dxa"/>
          </w:tcPr>
          <w:p w14:paraId="625BBB17" w14:textId="77777777" w:rsidR="00FF7522" w:rsidRDefault="00B3730D">
            <w:r>
              <w:t>WFM &amp; Access Management Workflow Alignment transcript</w:t>
            </w:r>
          </w:p>
        </w:tc>
        <w:tc>
          <w:tcPr>
            <w:tcW w:w="3504" w:type="dxa"/>
          </w:tcPr>
          <w:p w14:paraId="476E124D" w14:textId="77777777" w:rsidR="00FF7522" w:rsidRDefault="00B3730D">
            <w:r>
              <w:t xml:space="preserve">SharePoint folder, automatic flow, parallel alerts, review checkpoint, </w:t>
            </w:r>
            <w:r>
              <w:lastRenderedPageBreak/>
              <w:t>classes of 15–20, centralized ownership preference</w:t>
            </w:r>
          </w:p>
        </w:tc>
        <w:tc>
          <w:tcPr>
            <w:tcW w:w="3504" w:type="dxa"/>
          </w:tcPr>
          <w:p w14:paraId="65274F37" w14:textId="77777777" w:rsidR="00FF7522" w:rsidRDefault="00B3730D">
            <w:r>
              <w:lastRenderedPageBreak/>
              <w:t>turn8search53</w:t>
            </w:r>
          </w:p>
        </w:tc>
      </w:tr>
      <w:tr w:rsidR="00FF7522" w14:paraId="0EEA6494" w14:textId="77777777">
        <w:tc>
          <w:tcPr>
            <w:tcW w:w="3504" w:type="dxa"/>
          </w:tcPr>
          <w:p w14:paraId="48817F27" w14:textId="77777777" w:rsidR="00FF7522" w:rsidRDefault="00B3730D">
            <w:r>
              <w:t>Roster Lock Template</w:t>
            </w:r>
          </w:p>
        </w:tc>
        <w:tc>
          <w:tcPr>
            <w:tcW w:w="3504" w:type="dxa"/>
          </w:tcPr>
          <w:p w14:paraId="043817B1" w14:textId="77777777" w:rsidR="00FF7522" w:rsidRDefault="00B3730D">
            <w:r>
              <w:t>Required onboarding fields</w:t>
            </w:r>
          </w:p>
        </w:tc>
        <w:tc>
          <w:tcPr>
            <w:tcW w:w="3504" w:type="dxa"/>
          </w:tcPr>
          <w:p w14:paraId="7FF23ACD" w14:textId="77777777" w:rsidR="00FF7522" w:rsidRDefault="00B3730D">
            <w:r>
              <w:t>turn8search45</w:t>
            </w:r>
          </w:p>
        </w:tc>
      </w:tr>
      <w:tr w:rsidR="00FF7522" w14:paraId="38A91E4A" w14:textId="77777777">
        <w:tc>
          <w:tcPr>
            <w:tcW w:w="3504" w:type="dxa"/>
          </w:tcPr>
          <w:p w14:paraId="12EB5352" w14:textId="77777777" w:rsidR="00FF7522" w:rsidRDefault="00B3730D">
            <w:r>
              <w:t>IEX WFM plans and RAID materials</w:t>
            </w:r>
          </w:p>
        </w:tc>
        <w:tc>
          <w:tcPr>
            <w:tcW w:w="3504" w:type="dxa"/>
          </w:tcPr>
          <w:p w14:paraId="6A80B723" w14:textId="77777777" w:rsidR="00FF7522" w:rsidRDefault="00B3730D">
            <w:r>
              <w:t>Centralized model, no parallel tools, go-live timing, risk register, governance cadence, data-quality risk</w:t>
            </w:r>
          </w:p>
        </w:tc>
        <w:tc>
          <w:tcPr>
            <w:tcW w:w="3504" w:type="dxa"/>
          </w:tcPr>
          <w:p w14:paraId="764DAA8A" w14:textId="77777777" w:rsidR="00FF7522" w:rsidRDefault="00B3730D">
            <w:r>
              <w:t>turn8search51 / turn8search60 / turn8search62 / turn8search65</w:t>
            </w:r>
          </w:p>
        </w:tc>
      </w:tr>
    </w:tbl>
    <w:p w14:paraId="14070B36" w14:textId="77777777" w:rsidR="00FF7522" w:rsidRDefault="00B3730D">
      <w:pPr>
        <w:pStyle w:val="Heading1"/>
      </w:pPr>
      <w:r>
        <w:t>Appendix A. Calculation Logic Used in This Document</w:t>
      </w:r>
    </w:p>
    <w:p w14:paraId="6D524DC2" w14:textId="77777777" w:rsidR="00FF7522" w:rsidRDefault="00B3730D">
      <w:pPr>
        <w:pStyle w:val="ListBullet"/>
      </w:pPr>
      <w:r>
        <w:t>Team hours saved = hours saved per analyst × 3 analysts.</w:t>
      </w:r>
    </w:p>
    <w:p w14:paraId="6D062001" w14:textId="77777777" w:rsidR="00FF7522" w:rsidRDefault="00B3730D">
      <w:pPr>
        <w:pStyle w:val="ListBullet"/>
      </w:pPr>
      <w:r>
        <w:t>Equivalent FTE = team hours saved ÷ 2,080 hours.</w:t>
      </w:r>
    </w:p>
    <w:p w14:paraId="64E2FC0F" w14:textId="77777777" w:rsidR="00FF7522" w:rsidRDefault="00B3730D">
      <w:pPr>
        <w:pStyle w:val="ListBullet"/>
      </w:pPr>
      <w:r>
        <w:t>Recovered analyst days = team hours saved ÷ 8.</w:t>
      </w:r>
    </w:p>
    <w:p w14:paraId="74F76320" w14:textId="77777777" w:rsidR="00FF7522" w:rsidRDefault="00B3730D">
      <w:pPr>
        <w:pStyle w:val="ListBullet"/>
      </w:pPr>
      <w:r>
        <w:t>Recovered analyst weeks = team hours saved ÷ 40.</w:t>
      </w:r>
    </w:p>
    <w:tbl>
      <w:tblPr>
        <w:tblStyle w:val="TableGrid"/>
        <w:tblW w:w="0" w:type="auto"/>
        <w:tblLook w:val="04A0" w:firstRow="1" w:lastRow="0" w:firstColumn="1" w:lastColumn="0" w:noHBand="0" w:noVBand="1"/>
      </w:tblPr>
      <w:tblGrid>
        <w:gridCol w:w="3501"/>
        <w:gridCol w:w="3501"/>
        <w:gridCol w:w="3500"/>
      </w:tblGrid>
      <w:tr w:rsidR="00FF7522" w14:paraId="270F8DF0" w14:textId="77777777">
        <w:tc>
          <w:tcPr>
            <w:tcW w:w="3504" w:type="dxa"/>
            <w:shd w:val="clear" w:color="auto" w:fill="D9EAF7"/>
          </w:tcPr>
          <w:p w14:paraId="0ED958A7" w14:textId="77777777" w:rsidR="00FF7522" w:rsidRDefault="00B3730D">
            <w:r>
              <w:rPr>
                <w:b/>
              </w:rPr>
              <w:t>Calculation</w:t>
            </w:r>
          </w:p>
        </w:tc>
        <w:tc>
          <w:tcPr>
            <w:tcW w:w="3504" w:type="dxa"/>
            <w:shd w:val="clear" w:color="auto" w:fill="D9EAF7"/>
          </w:tcPr>
          <w:p w14:paraId="59F876EE" w14:textId="77777777" w:rsidR="00FF7522" w:rsidRDefault="00B3730D">
            <w:r>
              <w:rPr>
                <w:b/>
              </w:rPr>
              <w:t>Formula</w:t>
            </w:r>
          </w:p>
        </w:tc>
        <w:tc>
          <w:tcPr>
            <w:tcW w:w="3504" w:type="dxa"/>
            <w:shd w:val="clear" w:color="auto" w:fill="D9EAF7"/>
          </w:tcPr>
          <w:p w14:paraId="1C181D25" w14:textId="77777777" w:rsidR="00FF7522" w:rsidRDefault="00B3730D">
            <w:r>
              <w:rPr>
                <w:b/>
              </w:rPr>
              <w:t>Result</w:t>
            </w:r>
          </w:p>
        </w:tc>
      </w:tr>
      <w:tr w:rsidR="00FF7522" w14:paraId="4FAA0CA3" w14:textId="77777777">
        <w:tc>
          <w:tcPr>
            <w:tcW w:w="3504" w:type="dxa"/>
          </w:tcPr>
          <w:p w14:paraId="7B2D1707" w14:textId="77777777" w:rsidR="00FF7522" w:rsidRDefault="00B3730D">
            <w:r>
              <w:t>Team hours saved (low)</w:t>
            </w:r>
          </w:p>
        </w:tc>
        <w:tc>
          <w:tcPr>
            <w:tcW w:w="3504" w:type="dxa"/>
          </w:tcPr>
          <w:p w14:paraId="34CC12B6" w14:textId="77777777" w:rsidR="00FF7522" w:rsidRDefault="00B3730D">
            <w:r>
              <w:t>375 × 3</w:t>
            </w:r>
          </w:p>
        </w:tc>
        <w:tc>
          <w:tcPr>
            <w:tcW w:w="3504" w:type="dxa"/>
          </w:tcPr>
          <w:p w14:paraId="652F59CA" w14:textId="77777777" w:rsidR="00FF7522" w:rsidRDefault="00B3730D">
            <w:r>
              <w:t>1,125 hours</w:t>
            </w:r>
          </w:p>
        </w:tc>
      </w:tr>
      <w:tr w:rsidR="00FF7522" w14:paraId="69D9C409" w14:textId="77777777">
        <w:tc>
          <w:tcPr>
            <w:tcW w:w="3504" w:type="dxa"/>
          </w:tcPr>
          <w:p w14:paraId="422EEAA0" w14:textId="77777777" w:rsidR="00FF7522" w:rsidRDefault="00B3730D">
            <w:r>
              <w:t>Team hours saved (high)</w:t>
            </w:r>
          </w:p>
        </w:tc>
        <w:tc>
          <w:tcPr>
            <w:tcW w:w="3504" w:type="dxa"/>
          </w:tcPr>
          <w:p w14:paraId="29AABD85" w14:textId="77777777" w:rsidR="00FF7522" w:rsidRDefault="00B3730D">
            <w:r>
              <w:t>500 × 3</w:t>
            </w:r>
          </w:p>
        </w:tc>
        <w:tc>
          <w:tcPr>
            <w:tcW w:w="3504" w:type="dxa"/>
          </w:tcPr>
          <w:p w14:paraId="77647CCF" w14:textId="77777777" w:rsidR="00FF7522" w:rsidRDefault="00B3730D">
            <w:r>
              <w:t>1,500 hours</w:t>
            </w:r>
          </w:p>
        </w:tc>
      </w:tr>
      <w:tr w:rsidR="00FF7522" w14:paraId="59D26467" w14:textId="77777777">
        <w:tc>
          <w:tcPr>
            <w:tcW w:w="3504" w:type="dxa"/>
          </w:tcPr>
          <w:p w14:paraId="02C41BE6" w14:textId="77777777" w:rsidR="00FF7522" w:rsidRDefault="00B3730D">
            <w:r>
              <w:t>Equivalent FTE (low)</w:t>
            </w:r>
          </w:p>
        </w:tc>
        <w:tc>
          <w:tcPr>
            <w:tcW w:w="3504" w:type="dxa"/>
          </w:tcPr>
          <w:p w14:paraId="12F6C8FA" w14:textId="77777777" w:rsidR="00FF7522" w:rsidRDefault="00B3730D">
            <w:r>
              <w:t>1,125 ÷ 2,080</w:t>
            </w:r>
          </w:p>
        </w:tc>
        <w:tc>
          <w:tcPr>
            <w:tcW w:w="3504" w:type="dxa"/>
          </w:tcPr>
          <w:p w14:paraId="05C2F193" w14:textId="77777777" w:rsidR="00FF7522" w:rsidRDefault="00B3730D">
            <w:r>
              <w:t>0.54 FTE</w:t>
            </w:r>
          </w:p>
        </w:tc>
      </w:tr>
      <w:tr w:rsidR="00FF7522" w14:paraId="739B52B2" w14:textId="77777777">
        <w:tc>
          <w:tcPr>
            <w:tcW w:w="3504" w:type="dxa"/>
          </w:tcPr>
          <w:p w14:paraId="58EB0E41" w14:textId="77777777" w:rsidR="00FF7522" w:rsidRDefault="00B3730D">
            <w:r>
              <w:t>Equivalent FTE (high)</w:t>
            </w:r>
          </w:p>
        </w:tc>
        <w:tc>
          <w:tcPr>
            <w:tcW w:w="3504" w:type="dxa"/>
          </w:tcPr>
          <w:p w14:paraId="6295C248" w14:textId="77777777" w:rsidR="00FF7522" w:rsidRDefault="00B3730D">
            <w:r>
              <w:t>1,500 ÷ 2,080</w:t>
            </w:r>
          </w:p>
        </w:tc>
        <w:tc>
          <w:tcPr>
            <w:tcW w:w="3504" w:type="dxa"/>
          </w:tcPr>
          <w:p w14:paraId="735D2415" w14:textId="77777777" w:rsidR="00FF7522" w:rsidRDefault="00B3730D">
            <w:r>
              <w:t>0.72 FTE</w:t>
            </w:r>
          </w:p>
        </w:tc>
      </w:tr>
      <w:tr w:rsidR="00FF7522" w14:paraId="700B2C90" w14:textId="77777777">
        <w:tc>
          <w:tcPr>
            <w:tcW w:w="3504" w:type="dxa"/>
          </w:tcPr>
          <w:p w14:paraId="378DD215" w14:textId="77777777" w:rsidR="00FF7522" w:rsidRDefault="00B3730D">
            <w:r>
              <w:t>Recovered analyst days (low)</w:t>
            </w:r>
          </w:p>
        </w:tc>
        <w:tc>
          <w:tcPr>
            <w:tcW w:w="3504" w:type="dxa"/>
          </w:tcPr>
          <w:p w14:paraId="6101B6F8" w14:textId="77777777" w:rsidR="00FF7522" w:rsidRDefault="00B3730D">
            <w:r>
              <w:t>1,125 ÷ 8</w:t>
            </w:r>
          </w:p>
        </w:tc>
        <w:tc>
          <w:tcPr>
            <w:tcW w:w="3504" w:type="dxa"/>
          </w:tcPr>
          <w:p w14:paraId="253EEF1B" w14:textId="77777777" w:rsidR="00FF7522" w:rsidRDefault="00B3730D">
            <w:r>
              <w:t>141 days</w:t>
            </w:r>
          </w:p>
        </w:tc>
      </w:tr>
      <w:tr w:rsidR="00FF7522" w14:paraId="0220286E" w14:textId="77777777">
        <w:tc>
          <w:tcPr>
            <w:tcW w:w="3504" w:type="dxa"/>
          </w:tcPr>
          <w:p w14:paraId="03714C7C" w14:textId="77777777" w:rsidR="00FF7522" w:rsidRDefault="00B3730D">
            <w:r>
              <w:t>Recovered analyst days (high)</w:t>
            </w:r>
          </w:p>
        </w:tc>
        <w:tc>
          <w:tcPr>
            <w:tcW w:w="3504" w:type="dxa"/>
          </w:tcPr>
          <w:p w14:paraId="1E44B7D5" w14:textId="77777777" w:rsidR="00FF7522" w:rsidRDefault="00B3730D">
            <w:r>
              <w:t>1,500 ÷ 8</w:t>
            </w:r>
          </w:p>
        </w:tc>
        <w:tc>
          <w:tcPr>
            <w:tcW w:w="3504" w:type="dxa"/>
          </w:tcPr>
          <w:p w14:paraId="14370DF1" w14:textId="77777777" w:rsidR="00FF7522" w:rsidRDefault="00B3730D">
            <w:r>
              <w:t>188 days</w:t>
            </w:r>
          </w:p>
        </w:tc>
      </w:tr>
    </w:tbl>
    <w:p w14:paraId="03267E2B" w14:textId="77777777" w:rsidR="00B3730D" w:rsidRDefault="00B3730D"/>
    <w:sectPr w:rsidR="00B3730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535669">
    <w:abstractNumId w:val="8"/>
  </w:num>
  <w:num w:numId="2" w16cid:durableId="7678103">
    <w:abstractNumId w:val="6"/>
  </w:num>
  <w:num w:numId="3" w16cid:durableId="1604612686">
    <w:abstractNumId w:val="5"/>
  </w:num>
  <w:num w:numId="4" w16cid:durableId="2032759685">
    <w:abstractNumId w:val="4"/>
  </w:num>
  <w:num w:numId="5" w16cid:durableId="1430855296">
    <w:abstractNumId w:val="7"/>
  </w:num>
  <w:num w:numId="6" w16cid:durableId="1031537456">
    <w:abstractNumId w:val="3"/>
  </w:num>
  <w:num w:numId="7" w16cid:durableId="1722707513">
    <w:abstractNumId w:val="2"/>
  </w:num>
  <w:num w:numId="8" w16cid:durableId="1238176370">
    <w:abstractNumId w:val="1"/>
  </w:num>
  <w:num w:numId="9" w16cid:durableId="1036270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447"/>
    <w:rsid w:val="00326F90"/>
    <w:rsid w:val="005A44A5"/>
    <w:rsid w:val="00AA1D8D"/>
    <w:rsid w:val="00B3730D"/>
    <w:rsid w:val="00B47730"/>
    <w:rsid w:val="00CB0664"/>
    <w:rsid w:val="00FC693F"/>
    <w:rsid w:val="00FF7522"/>
    <w:rsid w:val="3E4F414F"/>
    <w:rsid w:val="5D55B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5F7D03-955E-44AE-B750-9D90F416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f8a7bc4-e337-47a5-a0fc-0d512c0e05f1}" enabled="0" method="" siteId="{3f8a7bc4-e337-47a5-a0fc-0d512c0e05f1}" removed="1"/>
</clbl:labelList>
</file>

<file path=docProps/app.xml><?xml version="1.0" encoding="utf-8"?>
<Properties xmlns="http://schemas.openxmlformats.org/officeDocument/2006/extended-properties" xmlns:vt="http://schemas.openxmlformats.org/officeDocument/2006/docPropsVTypes">
  <Template>Normal</Template>
  <TotalTime>2</TotalTime>
  <Pages>7</Pages>
  <Words>2291</Words>
  <Characters>13060</Characters>
  <Application>Microsoft Office Word</Application>
  <DocSecurity>4</DocSecurity>
  <Lines>108</Lines>
  <Paragraphs>30</Paragraphs>
  <ScaleCrop>false</ScaleCrop>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Alejandro Fernandez Arteaga</cp:lastModifiedBy>
  <cp:revision>2</cp:revision>
  <dcterms:created xsi:type="dcterms:W3CDTF">2026-07-22T14:31:00Z</dcterms:created>
  <dcterms:modified xsi:type="dcterms:W3CDTF">2026-07-22T14:31:00Z</dcterms:modified>
  <cp:category/>
</cp:coreProperties>
</file>