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i w:val="0"/>
          <w:color w:val="0B2545"/>
          <w:sz w:val="48"/>
        </w:rPr>
        <w:t>IAM Automation Architecture Brief</w:t>
      </w:r>
    </w:p>
    <w:p>
      <w:pPr>
        <w:spacing w:after="360"/>
      </w:pPr>
      <w:r>
        <w:rPr>
          <w:rFonts w:ascii="Calibri" w:hAnsi="Calibri"/>
          <w:b w:val="0"/>
          <w:i w:val="0"/>
          <w:color w:val="4B5563"/>
          <w:sz w:val="24"/>
        </w:rPr>
        <w:t>Single-writer request-and-approval architecture for Access snapshots, SharePoint requests, audit, and Excel outputs</w:t>
      </w:r>
    </w:p>
    <w:tbl>
      <w:tblPr>
        <w:tblStyle w:val="TableGrid"/>
        <w:tblW w:type="dxa" w:w="9200"/>
        <w:tblLook w:firstColumn="1" w:firstRow="1" w:lastColumn="0" w:lastRow="0" w:noHBand="0" w:noVBand="1" w:val="04A0"/>
        <w:jc w:val="lef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200"/>
        <w:gridCol w:w="7000"/>
      </w:tblGrid>
      <w:tr>
        <w:tc>
          <w:tcPr>
            <w:tcW w:type="dxa" w:w="2200"/>
            <w:vAlign w:val="center"/>
            <w:shd w:fill="F2F4F7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7000"/>
            <w:vAlign w:val="center"/>
          </w:tcPr>
          <w:p>
            <w:r>
              <w:t>IAM and Operations Stakeholders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00"/>
            <w:vAlign w:val="center"/>
          </w:tcPr>
          <w:p>
            <w:r>
              <w:t>July 17, 2026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00"/>
            <w:vAlign w:val="center"/>
          </w:tcPr>
          <w:p>
            <w:r>
              <w:t>Corrected POC architecture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r>
              <w:rPr>
                <w:b/>
              </w:rPr>
              <w:t>Primary decision</w:t>
            </w:r>
          </w:p>
        </w:tc>
        <w:tc>
          <w:tcPr>
            <w:tcW w:type="dxa" w:w="7000"/>
            <w:vAlign w:val="center"/>
          </w:tcPr>
          <w:p>
            <w:r>
              <w:t>Use single-writer approval workflow with immutable requests</w:t>
            </w:r>
          </w:p>
        </w:tc>
      </w:tr>
    </w:tbl>
    <w:p/>
    <w:p>
      <w:pPr>
        <w:spacing w:before="160" w:after="240"/>
        <w:ind w:left="216" w:right="216"/>
      </w:pPr>
      <w:r>
        <w:rPr>
          <w:rFonts w:ascii="Calibri" w:hAnsi="Calibri"/>
          <w:b/>
          <w:i w:val="0"/>
          <w:color w:val="1F4D78"/>
          <w:sz w:val="22"/>
        </w:rPr>
        <w:t>Recommended POC path: requesters submit immutable JSON files; only an Administrator/Writer imports, approves, applies, audits, exports, and publishes versioned Access snapshots.</w:t>
      </w:r>
    </w:p>
    <w:p>
      <w:pPr>
        <w:sectPr>
          <w:headerReference w:type="default" r:id="rId30"/>
          <w:footerReference w:type="default" r:id="rId3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p>
      <w:r>
        <w:rPr>
          <w:rFonts w:ascii="Calibri" w:hAnsi="Calibri"/>
          <w:b w:val="0"/>
          <w:i w:val="0"/>
          <w:color w:val="1F2937"/>
          <w:sz w:val="22"/>
        </w:rPr>
        <w:t>IAM Automation will support employee and user-data automation for SAP Fieldglass, Salesforce, NICE IEX, and future enterprise systems. The corrected architecture reflects the actual infrastructure: there is no server, central API, persistent VM, Windows Service host, or database engine available.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system must therefore use a single-writer approval workflow. Ordinary user applications create immutable JSON change requests and submit them to a SharePoint request repository. Only an authorized Administrator/Writer imports pending requests, reviews and approves them, applies approved changes to a local Access working copy, validates the result, generates official Excel outputs, and publishes a versioned Access snapshot back to SharePoint.</w:t>
      </w:r>
    </w:p>
    <w:p>
      <w:r>
        <w:rPr>
          <w:rFonts w:ascii="Calibri" w:hAnsi="Calibri"/>
          <w:b w:val="0"/>
          <w:i w:val="0"/>
          <w:color w:val="1F2937"/>
          <w:sz w:val="22"/>
        </w:rPr>
        <w:t>Microsoft Access is treated as a consolidated versioned snapshot, not as a live distributed multi-user database edited through OneDrive. OneDrive and SharePoint are used for document synchronization, request exchange, published snapshots, audit exports, and Excel outputs, not for transactional write coordination.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POC must remain compatible with Python 3.10.</w:t>
      </w:r>
    </w:p>
    <w:p>
      <w:pPr>
        <w:pStyle w:val="Heading1"/>
      </w:pPr>
      <w:r>
        <w:t>Business Objective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application should: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Centralize employee and user data.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Generate provisioning templates for enterprise systems.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Validate users and enforce roles.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Collect proposed changes through immutable request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Support review, approval, rejection, conflict handling, and audit.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Publish versioned Access snapshots and official Excel outputs.</w:t>
      </w:r>
    </w:p>
    <w:p>
      <w:pPr>
        <w:pStyle w:val="Heading1"/>
      </w:pPr>
      <w:r>
        <w:t>Actual Constraints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dedicated server, VM, VDI, API host, Windows Service host, or central coordinator.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SQL Server, PostgreSQL, MySQL, managed cloud database, or dedicated database engine.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Users run separately installed copies of the application on Windows workstations.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Available tools are Access, SharePoint, OneDrive, Excel, Python, Windows identity, and local workspaces.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SharePoint and OneDrive must not be treated as a transactional database server.</w:t>
      </w:r>
    </w:p>
    <w:p>
      <w:pPr>
        <w:pStyle w:val="Heading1"/>
      </w:pPr>
      <w:r>
        <w:t>Corrected Architecture</w:t>
      </w:r>
    </w:p>
    <w:p>
      <w:pPr>
        <w:pStyle w:val="Heading2"/>
      </w:pPr>
      <w:r>
        <w:t>Corrected Single-Writer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455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cted_single_writ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55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 w:val="0"/>
          <w:color w:val="4B5563"/>
          <w:sz w:val="16"/>
        </w:rPr>
        <w:t>Source: docs/diagrams/png/03_corrected_single_writer_architecture.png</w:t>
      </w:r>
    </w:p>
    <w:p>
      <w:pPr>
        <w:pStyle w:val="Heading1"/>
      </w:pPr>
      <w:r>
        <w:t>Role Separation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100"/>
        <w:gridCol w:w="2600"/>
        <w:gridCol w:w="4660"/>
      </w:tblGrid>
      <w:tr>
        <w:trPr>
          <w:tblHeader w:val="true"/>
        </w:trP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Role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Can Do</w:t>
            </w:r>
          </w:p>
        </w:tc>
        <w:tc>
          <w:tcPr>
            <w:tcW w:type="dxa" w:w="46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Cannot Do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REQUESTER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Read permitted data, submit change requests, view own status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Modify master data, approve, publish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REVIEWER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Read submitted requests, validate business info, recommend decisions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Publish or apply changes unless also writer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ADMINISTRATOR / WRITER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Import, approve/reject, apply, publish, recover, export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Bypass audit or version checks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AUDITOR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Review requests, decisions, audit, versions, errors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Submit, approve, apply, modify</w:t>
            </w:r>
          </w:p>
        </w:tc>
      </w:tr>
    </w:tbl>
    <w:p>
      <w:pPr>
        <w:pStyle w:val="Heading1"/>
      </w:pPr>
      <w:r>
        <w:t>Request Model</w:t>
      </w:r>
    </w:p>
    <w:p>
      <w:r>
        <w:rPr>
          <w:rFonts w:ascii="Calibri" w:hAnsi="Calibri"/>
          <w:b w:val="0"/>
          <w:i w:val="0"/>
          <w:color w:val="1F2937"/>
          <w:sz w:val="22"/>
        </w:rPr>
        <w:t xml:space="preserve">Requests are immutable JSON files stored first in </w:t>
      </w:r>
      <w:r>
        <w:rPr>
          <w:rFonts w:ascii="Calibri" w:hAnsi="Calibri"/>
          <w:b w:val="0"/>
          <w:i w:val="0"/>
          <w:color w:val="1F4D78"/>
          <w:sz w:val="20"/>
        </w:rPr>
        <w:t>requests/pending</w:t>
      </w:r>
      <w:r>
        <w:rPr>
          <w:rFonts w:ascii="Calibri" w:hAnsi="Calibri"/>
          <w:b w:val="0"/>
          <w:i w:val="0"/>
          <w:color w:val="1F2937"/>
          <w:sz w:val="22"/>
        </w:rPr>
        <w:t>.</w:t>
      </w:r>
    </w:p>
    <w:p>
      <w:r>
        <w:rPr>
          <w:rFonts w:ascii="Calibri" w:hAnsi="Calibri"/>
          <w:b w:val="0"/>
          <w:i w:val="0"/>
          <w:color w:val="1F2937"/>
          <w:sz w:val="22"/>
        </w:rPr>
        <w:t>Example filename:</w:t>
      </w:r>
    </w:p>
    <w:p>
      <w:r>
        <w:rPr>
          <w:rFonts w:ascii="Calibri" w:hAnsi="Calibri"/>
          <w:b w:val="0"/>
          <w:i w:val="0"/>
          <w:color w:val="1F4D78"/>
          <w:sz w:val="20"/>
        </w:rPr>
        <w:t>20260717T153500Z_9fb2e618-03fe-4ac2-8aa8-2ab864ade902.json</w:t>
      </w:r>
    </w:p>
    <w:p>
      <w:r>
        <w:rPr>
          <w:rFonts w:ascii="Calibri" w:hAnsi="Calibri"/>
          <w:b w:val="0"/>
          <w:i w:val="0"/>
          <w:color w:val="1F2937"/>
          <w:sz w:val="22"/>
        </w:rPr>
        <w:t xml:space="preserve">Each request includes a globally unique </w:t>
      </w:r>
      <w:r>
        <w:rPr>
          <w:rFonts w:ascii="Calibri" w:hAnsi="Calibri"/>
          <w:b w:val="0"/>
          <w:i w:val="0"/>
          <w:color w:val="1F4D78"/>
          <w:sz w:val="20"/>
        </w:rPr>
        <w:t>request_id</w:t>
      </w:r>
      <w:r>
        <w:rPr>
          <w:rFonts w:ascii="Calibri" w:hAnsi="Calibri"/>
          <w:b w:val="0"/>
          <w:i w:val="0"/>
          <w:color w:val="1F2937"/>
          <w:sz w:val="22"/>
        </w:rPr>
        <w:t>, creator identity, computer name, application version, operation type, entity type, entity ID, expected record version, payload, reason, and status.</w:t>
      </w:r>
    </w:p>
    <w:p>
      <w:r>
        <w:rPr>
          <w:rFonts w:ascii="Calibri" w:hAnsi="Calibri"/>
          <w:b w:val="0"/>
          <w:i w:val="0"/>
          <w:color w:val="1F2937"/>
          <w:sz w:val="22"/>
        </w:rPr>
        <w:t>Corrections create a new request. Original files are preserved.</w:t>
      </w:r>
    </w:p>
    <w:p>
      <w:pPr>
        <w:pStyle w:val="Heading1"/>
      </w:pPr>
      <w:r>
        <w:t>Administrator Batch Workflow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Validate Administrator/Writer identity and application version.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Read current published snapshot version and checksum.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Create a local backup.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Copy the Access snapshot to a workspace outside OneDrive.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 xml:space="preserve">Import pending requests by </w:t>
      </w:r>
      <w:r>
        <w:rPr>
          <w:rFonts w:ascii="Calibri" w:hAnsi="Calibri"/>
          <w:b w:val="0"/>
          <w:i w:val="0"/>
          <w:color w:val="1F4D78"/>
          <w:sz w:val="20"/>
        </w:rPr>
        <w:t>request_id</w:t>
      </w:r>
      <w:r>
        <w:rPr>
          <w:rFonts w:ascii="Calibri" w:hAnsi="Calibri"/>
          <w:b w:val="0"/>
          <w:i w:val="0"/>
          <w:color w:val="1F2937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Quarantine malformed or suspicious requests.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Reject duplicates.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Review, approve, or reject requests.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Detect stale record versions.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Apply approved non-conflicting requests.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Write audit events.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Validate referential integrity.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Generate official Excel outputs.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Create versioned Access snapshot and manifest.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Re-read published version before publication.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Publish only if the published version did not change.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Archive processed requests and write a batch summary.</w:t>
      </w:r>
    </w:p>
    <w:p>
      <w:pPr>
        <w:pStyle w:val="Heading1"/>
      </w:pPr>
      <w:r>
        <w:t>Risk Position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design explicitly avoids direct multi-user Access writes. The highest residual risk is simultaneous Administrator/Writer processing because there is no central lock authority. The mitigation is a combination of restricted writer permissions, operational handoff, advisory writer marker, activity log, idempotent request IDs, and version/checksum comparison immediately before publication.</w:t>
      </w:r>
    </w:p>
    <w:p>
      <w:pPr>
        <w:pStyle w:val="Heading1"/>
      </w:pPr>
      <w:r>
        <w:t>Access Database Design</w:t>
      </w:r>
    </w:p>
    <w:p>
      <w:r>
        <w:rPr>
          <w:rFonts w:ascii="Calibri" w:hAnsi="Calibri"/>
          <w:b w:val="0"/>
          <w:i w:val="0"/>
          <w:color w:val="1F2937"/>
          <w:sz w:val="22"/>
        </w:rPr>
        <w:t>Initial Access schema includes: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tbl_Employees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tbl_Users</w:t>
      </w:r>
      <w:r>
        <w:rPr>
          <w:rFonts w:ascii="Calibri" w:hAnsi="Calibri"/>
          <w:b w:val="0"/>
          <w:i w:val="0"/>
          <w:color w:val="1F2937"/>
          <w:sz w:val="22"/>
        </w:rPr>
        <w:t xml:space="preserve">, </w:t>
      </w:r>
      <w:r>
        <w:rPr>
          <w:rFonts w:ascii="Calibri" w:hAnsi="Calibri"/>
          <w:b w:val="0"/>
          <w:i w:val="0"/>
          <w:color w:val="1F4D78"/>
          <w:sz w:val="20"/>
        </w:rPr>
        <w:t>tbl_Roles</w:t>
      </w:r>
      <w:r>
        <w:rPr>
          <w:rFonts w:ascii="Calibri" w:hAnsi="Calibri"/>
          <w:b w:val="0"/>
          <w:i w:val="0"/>
          <w:color w:val="1F2937"/>
          <w:sz w:val="22"/>
        </w:rPr>
        <w:t xml:space="preserve">, </w:t>
      </w:r>
      <w:r>
        <w:rPr>
          <w:rFonts w:ascii="Calibri" w:hAnsi="Calibri"/>
          <w:b w:val="0"/>
          <w:i w:val="0"/>
          <w:color w:val="1F4D78"/>
          <w:sz w:val="20"/>
        </w:rPr>
        <w:t>tbl_UserRoles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tbl_ChangeRequests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tbl_RequestDecisions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tbl_AuditEvents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tbl_Batches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20"/>
        </w:rPr>
        <w:t>tbl_DatabaseVersions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Reference tables for vendors, business units, locations, managers, system profiles, template mappings, export runs, and application versions.</w:t>
      </w:r>
    </w:p>
    <w:p>
      <w:r>
        <w:rPr>
          <w:rFonts w:ascii="Calibri" w:hAnsi="Calibri"/>
          <w:b w:val="0"/>
          <w:i w:val="0"/>
          <w:color w:val="1F2937"/>
          <w:sz w:val="22"/>
        </w:rPr>
        <w:t>Python must enforce request schema validation, allowed payload fields, idempotency, version checks, and business rules that Access cannot safely enforce alone.</w:t>
      </w:r>
    </w:p>
    <w:p>
      <w:pPr>
        <w:pStyle w:val="Heading1"/>
      </w:pPr>
      <w:r>
        <w:t>Publication Versioning</w:t>
      </w:r>
    </w:p>
    <w:p>
      <w:r>
        <w:rPr>
          <w:rFonts w:ascii="Calibri" w:hAnsi="Calibri"/>
          <w:b w:val="0"/>
          <w:i w:val="0"/>
          <w:color w:val="1F2937"/>
          <w:sz w:val="22"/>
        </w:rPr>
        <w:t>Each published snapshot should use versioned filenames:</w:t>
      </w:r>
    </w:p>
    <w:p>
      <w:r>
        <w:rPr>
          <w:rFonts w:ascii="Calibri" w:hAnsi="Calibri"/>
          <w:b w:val="0"/>
          <w:i w:val="0"/>
          <w:color w:val="1F4D78"/>
          <w:sz w:val="20"/>
        </w:rPr>
        <w:t>IAM_Master_v000042_20260717T160000Z.accdb</w:t>
      </w:r>
    </w:p>
    <w:p>
      <w:r>
        <w:rPr>
          <w:rFonts w:ascii="Calibri" w:hAnsi="Calibri"/>
          <w:b w:val="0"/>
          <w:i w:val="0"/>
          <w:color w:val="1F2937"/>
          <w:sz w:val="22"/>
        </w:rPr>
        <w:t>Each snapshot has a manifest with database version, schema version, publish timestamp, publisher, batch ID, checksum, application version, previous version, and request count applied.</w:t>
      </w:r>
    </w:p>
    <w:p>
      <w:pPr>
        <w:pStyle w:val="Heading1"/>
      </w:pPr>
      <w:r>
        <w:t>POC Scope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current implementation should prove: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Python 3.10-compatible request creation and validation.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Role validation.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Immutable request submission.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Duplicate request rejection.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Malformed request quarantine.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Admin import workflow.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 xml:space="preserve">Access connectivity with </w:t>
      </w:r>
      <w:r>
        <w:rPr>
          <w:rFonts w:ascii="Calibri" w:hAnsi="Calibri"/>
          <w:b w:val="0"/>
          <w:i w:val="0"/>
          <w:color w:val="1F4D78"/>
          <w:sz w:val="20"/>
        </w:rPr>
        <w:t>pyodbc</w:t>
      </w:r>
      <w:r>
        <w:rPr>
          <w:rFonts w:ascii="Calibri" w:hAnsi="Calibri"/>
          <w:b w:val="0"/>
          <w:i w:val="0"/>
          <w:color w:val="1F2937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Record-version conflict detection.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Audit JSONL generation.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Backup/checksum/snapshot publication controls.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Example Excel output generation.</w:t>
      </w:r>
    </w:p>
    <w:p>
      <w:pPr>
        <w:pStyle w:val="Heading1"/>
      </w:pPr>
      <w:r>
        <w:t>Recommendation</w:t>
      </w:r>
    </w:p>
    <w:p>
      <w:r>
        <w:rPr>
          <w:rFonts w:ascii="Calibri" w:hAnsi="Calibri"/>
          <w:b w:val="0"/>
          <w:i w:val="0"/>
          <w:color w:val="1F2937"/>
          <w:sz w:val="22"/>
        </w:rPr>
        <w:t>Proceed with the single-writer request-and-approval POC. Do not implement direct client writes to the Access database. Do not introduce a central API, service, Docker, SQL Server, PostgreSQL, Redis, or cloud database into the current architecture. Those belong only in a future migration strategy when infrastructure exists.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Diagram Appendix</w:t>
      </w:r>
    </w:p>
    <w:p>
      <w:r>
        <w:rPr>
          <w:rFonts w:ascii="Calibri" w:hAnsi="Calibri"/>
          <w:b w:val="0"/>
          <w:i w:val="0"/>
          <w:color w:val="1F2937"/>
          <w:sz w:val="22"/>
        </w:rPr>
        <w:t>The following diagrams were rendered from the Mermaid source files in docs/diagrams/source and embedded as PNGs for presentation use.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015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rrent_infrastructure_constraints_labe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1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0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safe_direct_write_architecture_labe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2891" cy="6537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cted_single_writer_architecture_labe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91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8717" cy="6537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r_request_submission_flow_labe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717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4837" cy="6537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istrator_batch_processing_flow_labe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4837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8292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quest_lifecycle_state_diagram_labe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2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3416" cy="6537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roval_and_rejection_workflow_labe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3416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819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ptimistic_concurrency_conflict_sequence_labe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548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base_snapshot_publication_sequence_labe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4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3772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ublication_version_check_sequence_labe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7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3085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uthentication_authorization_flow_label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5395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dit_event_flow_labe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3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6905" cy="6537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ckup_and_recovery_flow_labe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6905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490" cy="6537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uplicate_request_prevention_flow_label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649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495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ailed_batch_recovery_flow_label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4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086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ccess_database_entity_relationship_labe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990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harepoint_folder_structure_label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9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021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rust_boundaries_security_zones_labe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3045" cy="65379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ata_lifecycle_labe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3045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40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uture_migration_architecture_label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40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i w:val="0"/>
        <w:color w:val="4B5563"/>
        <w:sz w:val="18"/>
      </w:rPr>
      <w:t>Proof-of-concept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4B5563"/>
        <w:sz w:val="18"/>
      </w:rPr>
      <w:t>IAM Automation Architecture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