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EXECUTIVE BRIEF: CVE-2026-24858</w:t>
      </w:r>
    </w:p>
    <w:p>
      <w:pPr>
        <w:spacing w:after="200"/>
        <w:jc w:val="center"/>
      </w:pPr>
      <w:r>
        <w:rPr>
          <w:b/>
          <w:bCs/>
          <w:sz w:val="22"/>
          <w:szCs w:val="22"/>
        </w:rPr>
        <w:t xml:space="preserve">Critical Fortinet Authentication Bypass — Active Exploitation</w:t>
      </w:r>
      <w:r>
        <w:rPr>
          <w:sz w:val="20"/>
          <w:szCs w:val="20"/>
        </w:rPr>
        <w:t xml:space="preserve">
Classification: </w:t>
      </w:r>
      <w:r>
        <w:rPr>
          <w:b/>
          <w:bCs/>
          <w:color w:val="C00000"/>
          <w:sz w:val="20"/>
          <w:szCs w:val="20"/>
        </w:rPr>
        <w:t xml:space="preserve">CRITICAL</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b/>
                <w:bCs/>
              </w:rPr>
              <w:t xml:space="preserve">CVE ID</w:t>
            </w:r>
          </w:p>
        </w:tc>
        <w:tc>
          <w:tcPr>
            <w:tcW w:type="dxa" w:w="81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CVE-2026-24858</w:t>
            </w:r>
          </w:p>
        </w:tc>
      </w:tr>
      <w:tr>
        <w:tc>
          <w:tcPr>
            <w:tcW w:type="dxa" w:w="27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b/>
                <w:bCs/>
              </w:rPr>
              <w:t xml:space="preserve">CVSS Score</w:t>
            </w:r>
          </w:p>
        </w:tc>
        <w:tc>
          <w:tcPr>
            <w:tcW w:type="dxa" w:w="81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9.4 Critical (AV:N/AC:L/PR:N/UI:N/S:U/C:H/I:H/A:H)</w:t>
            </w:r>
          </w:p>
        </w:tc>
      </w:tr>
      <w:tr>
        <w:tc>
          <w:tcPr>
            <w:tcW w:type="dxa" w:w="27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b/>
                <w:bCs/>
              </w:rPr>
              <w:t xml:space="preserve">Exploitation</w:t>
            </w:r>
          </w:p>
        </w:tc>
        <w:tc>
          <w:tcPr>
            <w:tcW w:type="dxa" w:w="8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color w:val="C00000"/>
              </w:rPr>
              <w:t xml:space="preserve">Active zero-day exploitation confirmed since Jan 15, 2026</w:t>
            </w:r>
          </w:p>
        </w:tc>
      </w:tr>
      <w:tr>
        <w:tc>
          <w:tcPr>
            <w:tcW w:type="dxa" w:w="27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b/>
                <w:bCs/>
              </w:rPr>
              <w:t xml:space="preserve">Products</w:t>
            </w:r>
          </w:p>
        </w:tc>
        <w:tc>
          <w:tcPr>
            <w:tcW w:type="dxa" w:w="81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FortiOS, FortiManager, FortiAnalyzer, FortiProxy, FortiWeb</w:t>
            </w:r>
          </w:p>
        </w:tc>
      </w:tr>
      <w:tr>
        <w:tc>
          <w:tcPr>
            <w:tcW w:type="dxa" w:w="27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b/>
                <w:bCs/>
              </w:rPr>
              <w:t xml:space="preserve">CISA KEV</w:t>
            </w:r>
          </w:p>
        </w:tc>
        <w:tc>
          <w:tcPr>
            <w:tcW w:type="dxa" w:w="81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b/>
                <w:bCs/>
                <w:color w:val="C00000"/>
              </w:rPr>
              <w:t xml:space="preserve">Added Jan 27, 2026 | Federal deadline: Jan 30, 2026</w:t>
            </w:r>
          </w:p>
        </w:tc>
      </w:tr>
    </w:tbl>
    <w:p>
      <w:pPr>
        <w:spacing w:before="160" w:after="40"/>
      </w:pPr>
      <w:r>
        <w:rPr>
          <w:b/>
          <w:bCs/>
          <w:sz w:val="22"/>
          <w:szCs w:val="22"/>
        </w:rPr>
        <w:t xml:space="preserve">VULNERABILITY SUMMARY</w:t>
      </w:r>
    </w:p>
    <w:p>
      <w:pPr>
        <w:spacing w:after="100"/>
      </w:pPr>
      <w:r>
        <w:t xml:space="preserve">Authentication bypass allowing attackers with any FortiCloud account to gain administrative access to other organizations' devices when FortiCloud SSO is enabled. Fully patched devices running December 2025 updates were still compromised—this represents a new attack path distinct from CVE-2025-59718/59719.</w:t>
      </w:r>
    </w:p>
    <w:p>
      <w:pPr>
        <w:spacing w:before="60" w:after="40"/>
      </w:pPr>
      <w:r>
        <w:rPr>
          <w:b/>
          <w:bCs/>
          <w:sz w:val="22"/>
          <w:szCs w:val="22"/>
        </w:rPr>
        <w:t xml:space="preserve">FINANCIAL SERVICES IMPACT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rPr>
              <w:t xml:space="preserve">Compliance:</w:t>
            </w:r>
          </w:p>
          <w:p>
            <w:r>
              <w:t xml:space="preserve">• PCI-DSS, SOX, GLBA violations</w:t>
            </w:r>
          </w:p>
          <w:p>
            <w:r>
              <w:t xml:space="preserve">• Breach notification obligations</w:t>
            </w:r>
          </w:p>
          <w:p>
            <w:r>
              <w:t xml:space="preserve">• SEC disclosure requirements</w:t>
            </w:r>
          </w:p>
          <w:p>
            <w:pPr>
              <w:spacing w:before="80"/>
            </w:pPr>
            <w:r>
              <w:rPr>
                <w:b/>
                <w:bCs/>
              </w:rPr>
              <w:t xml:space="preserve">Operational:</w:t>
            </w:r>
          </w:p>
          <w:p>
            <w:r>
              <w:t xml:space="preserve">• Complete perimeter compromise</w:t>
            </w:r>
          </w:p>
          <w:p>
            <w:r>
              <w:t xml:space="preserve">• Unauthorized VPN/firewall changes</w:t>
            </w:r>
          </w:p>
          <w:p>
            <w:r>
              <w:t xml:space="preserve">• Configuration/credential theft</w:t>
            </w:r>
          </w:p>
        </w:tc>
        <w:tc>
          <w:tcPr>
            <w:tcW w:type="dxa" w:w="5400"/>
            <w:tcBorders>
              <w:top w:val="single" w:color="CCCCCC" w:sz="1"/>
              <w:left w:val="single" w:color="CCCCCC" w:sz="1"/>
              <w:bottom w:val="single" w:color="CCCCCC" w:sz="1"/>
              <w:right w:val="single" w:color="CCCCCC" w:sz="1"/>
            </w:tcBorders>
            <w:tcMar>
              <w:top w:type="dxa" w:w="60"/>
              <w:left w:type="dxa" w:w="80"/>
              <w:bottom w:type="dxa" w:w="60"/>
              <w:right w:type="dxa" w:w="80"/>
            </w:tcMar>
          </w:tcPr>
          <w:p>
            <w:r>
              <w:rPr>
                <w:b/>
                <w:bCs/>
              </w:rPr>
              <w:t xml:space="preserve">Financial:</w:t>
            </w:r>
          </w:p>
          <w:p>
            <w:r>
              <w:t xml:space="preserve">• Customer data exfiltration risk</w:t>
            </w:r>
          </w:p>
          <w:p>
            <w:r>
              <w:t xml:space="preserve">• Incident response costs</w:t>
            </w:r>
          </w:p>
          <w:p>
            <w:r>
              <w:t xml:space="preserve">• Regulatory fines potential</w:t>
            </w:r>
          </w:p>
          <w:p>
            <w:pPr>
              <w:spacing w:before="80"/>
            </w:pPr>
            <w:r>
              <w:rPr>
                <w:b/>
                <w:bCs/>
              </w:rPr>
              <w:t xml:space="preserve">Reputational:</w:t>
            </w:r>
          </w:p>
          <w:p>
            <w:r>
              <w:t xml:space="preserve">• Customer trust erosion</w:t>
            </w:r>
          </w:p>
          <w:p>
            <w:r>
              <w:t xml:space="preserve">• Stock price impact</w:t>
            </w:r>
          </w:p>
          <w:p>
            <w:r>
              <w:t xml:space="preserve">• Regulatory scrutiny</w:t>
            </w:r>
          </w:p>
        </w:tc>
      </w:tr>
    </w:tbl>
    <w:p>
      <w:pPr>
        <w:spacing w:before="100" w:after="40"/>
      </w:pPr>
      <w:r>
        <w:rPr>
          <w:b/>
          <w:bCs/>
          <w:sz w:val="22"/>
          <w:szCs w:val="22"/>
        </w:rPr>
        <w:t xml:space="preserve">IMMEDIATE ACTIONS (24-48 HOURS)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9400"/>
      </w:tblGrid>
      <w:tr>
        <w:tc>
          <w:tcPr>
            <w:tcW w:type="dxa" w:w="1400"/>
            <w:tcBorders>
              <w:top w:val="single" w:color="CCCCCC" w:sz="1"/>
              <w:left w:val="single" w:color="CCCCCC" w:sz="1"/>
              <w:bottom w:val="single" w:color="CCCCCC" w:sz="1"/>
              <w:right w:val="single" w:color="CCCCCC" w:sz="1"/>
            </w:tcBorders>
            <w:shd w:fill="FFE6E6" w:val="clear"/>
            <w:tcMar>
              <w:top w:type="dxa" w:w="40"/>
              <w:left w:type="dxa" w:w="80"/>
              <w:bottom w:type="dxa" w:w="40"/>
              <w:right w:type="dxa" w:w="80"/>
            </w:tcMar>
          </w:tcPr>
          <w:p>
            <w:r>
              <w:rPr>
                <w:b/>
                <w:bCs/>
              </w:rPr>
              <w:t xml:space="preserve">DETECT</w:t>
            </w:r>
          </w:p>
        </w:tc>
        <w:tc>
          <w:tcPr>
            <w:tcW w:type="dxa" w:w="9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Hunt for malicious accounts: cloud-noc@mail.io, cloud-init@mail.io | Check for suspicious admin accounts: audit, backup, itadmin, secadmin, support, svcadmin, system</w:t>
            </w:r>
          </w:p>
        </w:tc>
      </w:tr>
      <w:tr>
        <w:tc>
          <w:tcPr>
            <w:tcW w:type="dxa" w:w="1400"/>
            <w:tcBorders>
              <w:top w:val="single" w:color="CCCCCC" w:sz="1"/>
              <w:left w:val="single" w:color="CCCCCC" w:sz="1"/>
              <w:bottom w:val="single" w:color="CCCCCC" w:sz="1"/>
              <w:right w:val="single" w:color="CCCCCC" w:sz="1"/>
            </w:tcBorders>
            <w:shd w:fill="FFF4E6" w:val="clear"/>
            <w:tcMar>
              <w:top w:type="dxa" w:w="40"/>
              <w:left w:type="dxa" w:w="80"/>
              <w:bottom w:type="dxa" w:w="40"/>
              <w:right w:type="dxa" w:w="80"/>
            </w:tcMar>
          </w:tcPr>
          <w:p>
            <w:r>
              <w:rPr>
                <w:b/>
                <w:bCs/>
              </w:rPr>
              <w:t xml:space="preserve">PATCH</w:t>
            </w:r>
          </w:p>
        </w:tc>
        <w:tc>
          <w:tcPr>
            <w:tcW w:type="dxa" w:w="9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FortiOS 7.6.6/7.4.11/7.2.13/7.0.19 | FortiManager/Analyzer 7.6.6/7.4.10/7.2.12/7.0.16 | FortiProxy 7.6.5/7.4.13/7.2.16/7.0.23</w:t>
            </w:r>
          </w:p>
        </w:tc>
      </w:tr>
      <w:tr>
        <w:tc>
          <w:tcPr>
            <w:tcW w:type="dxa" w:w="1400"/>
            <w:tcBorders>
              <w:top w:val="single" w:color="CCCCCC" w:sz="1"/>
              <w:left w:val="single" w:color="CCCCCC" w:sz="1"/>
              <w:bottom w:val="single" w:color="CCCCCC" w:sz="1"/>
              <w:right w:val="single" w:color="CCCCCC" w:sz="1"/>
            </w:tcBorders>
            <w:shd w:fill="E6F4FF" w:val="clear"/>
            <w:tcMar>
              <w:top w:type="dxa" w:w="40"/>
              <w:left w:type="dxa" w:w="80"/>
              <w:bottom w:type="dxa" w:w="40"/>
              <w:right w:type="dxa" w:w="80"/>
            </w:tcMar>
          </w:tcPr>
          <w:p>
            <w:r>
              <w:rPr>
                <w:b/>
                <w:bCs/>
              </w:rPr>
              <w:t xml:space="preserve">CONTAIN</w:t>
            </w:r>
          </w:p>
        </w:tc>
        <w:tc>
          <w:tcPr>
            <w:tcW w:type="dxa" w:w="9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If compromised: Restore from pre-January 2026 backup | Rotate ALL credentials (local admin, LDAP/AD, VPN) | Disable FortiCloud SSO if not required</w:t>
            </w:r>
          </w:p>
        </w:tc>
      </w:tr>
      <w:tr>
        <w:tc>
          <w:tcPr>
            <w:tcW w:type="dxa" w:w="1400"/>
            <w:tcBorders>
              <w:top w:val="single" w:color="CCCCCC" w:sz="1"/>
              <w:left w:val="single" w:color="CCCCCC" w:sz="1"/>
              <w:bottom w:val="single" w:color="CCCCCC" w:sz="1"/>
              <w:right w:val="single" w:color="CCCCCC" w:sz="1"/>
            </w:tcBorders>
            <w:shd w:fill="E6FFE6" w:val="clear"/>
            <w:tcMar>
              <w:top w:type="dxa" w:w="40"/>
              <w:left w:type="dxa" w:w="80"/>
              <w:bottom w:type="dxa" w:w="40"/>
              <w:right w:type="dxa" w:w="80"/>
            </w:tcMar>
          </w:tcPr>
          <w:p>
            <w:r>
              <w:rPr>
                <w:b/>
                <w:bCs/>
              </w:rPr>
              <w:t xml:space="preserve">HARDEN</w:t>
            </w:r>
          </w:p>
        </w:tc>
        <w:tc>
          <w:tcPr>
            <w:tcW w:type="dxa" w:w="94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Remove internet exposure of admin interfaces | Implement trusted IP allowlisting | Require VPN/jump host for remote admin access</w:t>
            </w:r>
          </w:p>
        </w:tc>
      </w:tr>
    </w:tbl>
    <w:p>
      <w:pPr>
        <w:spacing w:before="100" w:after="40"/>
      </w:pPr>
      <w:r>
        <w:rPr>
          <w:b/>
          <w:bCs/>
          <w:sz w:val="22"/>
          <w:szCs w:val="22"/>
        </w:rPr>
        <w:t xml:space="preserve">DETECTION INDICATORS</w:t>
      </w:r>
    </w:p>
    <w:p>
      <w:pPr>
        <w:spacing w:after="60"/>
      </w:pPr>
      <w:r>
        <w:rPr>
          <w:b/>
          <w:bCs/>
        </w:rPr>
        <w:t xml:space="preserve">Malicious Accounts: </w:t>
      </w:r>
      <w:r>
        <w:t xml:space="preserve">cloud-noc@mail.io, cloud-init@mail.io (locked by Fortinet Jan 22) | </w:t>
      </w:r>
      <w:r>
        <w:rPr>
          <w:b/>
          <w:bCs/>
        </w:rPr>
        <w:t xml:space="preserve">Log Entries: </w:t>
      </w:r>
      <w:r>
        <w:t xml:space="preserve">method="sso", ui="sso(&lt;ip&gt;)" | </w:t>
      </w:r>
      <w:r>
        <w:rPr>
          <w:b/>
          <w:bCs/>
        </w:rPr>
        <w:t xml:space="preserve">Suspicious Admin Names: </w:t>
      </w:r>
      <w:r>
        <w:t xml:space="preserve">audit, backup, itadmin, secadmin, support, svcadmin, system | </w:t>
      </w:r>
      <w:r>
        <w:rPr>
          <w:b/>
          <w:bCs/>
        </w:rPr>
        <w:t xml:space="preserve">Review Period: </w:t>
      </w:r>
      <w:r>
        <w:t xml:space="preserve">January 15, 2026 - present</w:t>
      </w:r>
    </w:p>
    <w:p>
      <w:pPr>
        <w:spacing w:before="80" w:after="40"/>
      </w:pPr>
      <w:r>
        <w:rPr>
          <w:b/>
          <w:bCs/>
          <w:sz w:val="22"/>
          <w:szCs w:val="22"/>
        </w:rPr>
        <w:t xml:space="preserve">PATCHING PRIORITY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6100"/>
      </w:tblGrid>
      <w:tr>
        <w:tc>
          <w:tcPr>
            <w:tcW w:type="dxa" w:w="2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b/>
                <w:bCs/>
              </w:rPr>
              <w:t xml:space="preserve">Priority</w:t>
            </w:r>
          </w:p>
        </w:tc>
        <w:tc>
          <w:tcPr>
            <w:tcW w:type="dxa" w:w="27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b/>
                <w:bCs/>
              </w:rPr>
              <w:t xml:space="preserve">Timeline</w:t>
            </w:r>
          </w:p>
        </w:tc>
        <w:tc>
          <w:tcPr>
            <w:tcW w:type="dxa" w:w="61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b/>
                <w:bCs/>
              </w:rPr>
              <w:t xml:space="preserve">Scope</w:t>
            </w:r>
          </w:p>
        </w:tc>
      </w:tr>
      <w:tr>
        <w:tc>
          <w:tcPr>
            <w:tcW w:type="dxa" w:w="2000"/>
            <w:tcBorders>
              <w:top w:val="single" w:color="CCCCCC" w:sz="1"/>
              <w:left w:val="single" w:color="CCCCCC" w:sz="1"/>
              <w:bottom w:val="single" w:color="CCCCCC" w:sz="1"/>
              <w:right w:val="single" w:color="CCCCCC" w:sz="1"/>
            </w:tcBorders>
            <w:shd w:fill="FFE6E6" w:val="clear"/>
            <w:tcMar>
              <w:top w:type="dxa" w:w="40"/>
              <w:left w:type="dxa" w:w="80"/>
              <w:bottom w:type="dxa" w:w="40"/>
              <w:right w:type="dxa" w:w="80"/>
            </w:tcMar>
          </w:tcPr>
          <w:p>
            <w:r>
              <w:rPr>
                <w:b/>
                <w:bCs/>
              </w:rPr>
              <w:t xml:space="preserve">EMERGENCY</w:t>
            </w:r>
          </w:p>
        </w:tc>
        <w:tc>
          <w:tcPr>
            <w:tcW w:type="dxa" w:w="27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0-24 hours</w:t>
            </w:r>
          </w:p>
        </w:tc>
        <w:tc>
          <w:tcPr>
            <w:tcW w:type="dxa" w:w="61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Internet-facing devices, PCI-DSS scope, perimeter firewalls</w:t>
            </w:r>
          </w:p>
        </w:tc>
      </w:tr>
      <w:tr>
        <w:tc>
          <w:tcPr>
            <w:tcW w:type="dxa" w:w="2000"/>
            <w:tcBorders>
              <w:top w:val="single" w:color="CCCCCC" w:sz="1"/>
              <w:left w:val="single" w:color="CCCCCC" w:sz="1"/>
              <w:bottom w:val="single" w:color="CCCCCC" w:sz="1"/>
              <w:right w:val="single" w:color="CCCCCC" w:sz="1"/>
            </w:tcBorders>
            <w:shd w:fill="FFF4E6" w:val="clear"/>
            <w:tcMar>
              <w:top w:type="dxa" w:w="40"/>
              <w:left w:type="dxa" w:w="80"/>
              <w:bottom w:type="dxa" w:w="40"/>
              <w:right w:type="dxa" w:w="80"/>
            </w:tcMar>
          </w:tcPr>
          <w:p>
            <w:r>
              <w:rPr>
                <w:b/>
                <w:bCs/>
              </w:rPr>
              <w:t xml:space="preserve">URGENT</w:t>
            </w:r>
          </w:p>
        </w:tc>
        <w:tc>
          <w:tcPr>
            <w:tcW w:type="dxa" w:w="27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24-72 hours</w:t>
            </w:r>
          </w:p>
        </w:tc>
        <w:tc>
          <w:tcPr>
            <w:tcW w:type="dxa" w:w="61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Internal devices, FortiManager/Analyzer, DMZ devices</w:t>
            </w:r>
          </w:p>
        </w:tc>
      </w:tr>
      <w:tr>
        <w:tc>
          <w:tcPr>
            <w:tcW w:type="dxa" w:w="2000"/>
            <w:tcBorders>
              <w:top w:val="single" w:color="CCCCCC" w:sz="1"/>
              <w:left w:val="single" w:color="CCCCCC" w:sz="1"/>
              <w:bottom w:val="single" w:color="CCCCCC" w:sz="1"/>
              <w:right w:val="single" w:color="CCCCCC" w:sz="1"/>
            </w:tcBorders>
            <w:shd w:fill="E6FFE6" w:val="clear"/>
            <w:tcMar>
              <w:top w:type="dxa" w:w="40"/>
              <w:left w:type="dxa" w:w="80"/>
              <w:bottom w:type="dxa" w:w="40"/>
              <w:right w:type="dxa" w:w="80"/>
            </w:tcMar>
          </w:tcPr>
          <w:p>
            <w:r>
              <w:rPr>
                <w:b/>
                <w:bCs/>
              </w:rPr>
              <w:t xml:space="preserve">HIGH</w:t>
            </w:r>
          </w:p>
        </w:tc>
        <w:tc>
          <w:tcPr>
            <w:tcW w:type="dxa" w:w="27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3-7 days</w:t>
            </w:r>
          </w:p>
        </w:tc>
        <w:tc>
          <w:tcPr>
            <w:tcW w:type="dxa" w:w="6100"/>
            <w:tcBorders>
              <w:top w:val="single" w:color="CCCCCC" w:sz="1"/>
              <w:left w:val="single" w:color="CCCCCC" w:sz="1"/>
              <w:bottom w:val="single" w:color="CCCCCC" w:sz="1"/>
              <w:right w:val="single" w:color="CCCCCC" w:sz="1"/>
            </w:tcBorders>
            <w:tcMar>
              <w:top w:type="dxa" w:w="40"/>
              <w:left w:type="dxa" w:w="80"/>
              <w:bottom w:type="dxa" w:w="40"/>
              <w:right w:type="dxa" w:w="80"/>
            </w:tcMar>
          </w:tcPr>
          <w:p>
            <w:r>
              <w:t xml:space="preserve">All remaining vulnerable devices, dev/test environments</w:t>
            </w:r>
          </w:p>
        </w:tc>
      </w:tr>
    </w:tbl>
    <w:p>
      <w:pPr>
        <w:spacing w:before="120" w:after="0"/>
        <w:jc w:val="center"/>
      </w:pPr>
      <w:r>
        <w:rPr>
          <w:b/>
          <w:bCs/>
          <w:sz w:val="18"/>
          <w:szCs w:val="18"/>
        </w:rPr>
        <w:t xml:space="preserve">● RECOMMENDATION: Treat as executive-level security incident requiring immediate board/C-suite notification ●</w:t>
      </w:r>
    </w:p>
    <w:p>
      <w:pPr>
        <w:spacing w:before="40"/>
        <w:jc w:val="center"/>
      </w:pPr>
      <w:r>
        <w:rPr>
          <w:i/>
          <w:iCs/>
          <w:sz w:val="18"/>
          <w:szCs w:val="18"/>
        </w:rPr>
        <w:t xml:space="preserve">Document Classification: CONFIDENTIAL | Prepared: February 11, 2026</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60"/>
      <w:outlineLvl w:val="0"/>
    </w:pPr>
    <w:rPr>
      <w:rFonts w:ascii="Arial" w:cs="Arial" w:eastAsia="Arial" w:hAnsi="Arial"/>
      <w:b/>
      <w:bCs/>
      <w:color w:val="C00000"/>
      <w:sz w:val="28"/>
      <w:szCs w:val="28"/>
    </w:rPr>
  </w:style>
  <w:style w:type="paragraph" w:styleId="Heading2">
    <w:name w:val="Heading 2"/>
    <w:basedOn w:val="Normal"/>
    <w:next w:val="Normal"/>
    <w:qFormat/>
    <w:pPr>
      <w:spacing w:before="100" w:after="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2026-02-10T23:13:00.735Z</dcterms:created>
  <dcterms:modified xsi:type="dcterms:W3CDTF">2026-02-10T23:13:00.737Z</dcterms:modified>
</cp:coreProperties>
</file>

<file path=docProps/custom.xml><?xml version="1.0" encoding="utf-8"?>
<Properties xmlns="http://schemas.openxmlformats.org/officeDocument/2006/custom-properties" xmlns:vt="http://schemas.openxmlformats.org/officeDocument/2006/docPropsVTypes"/>
</file>