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3.png" ContentType="image/png"/>
  <Override PartName="/word/media/image4.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Architectural Analysis and Optimization of C Programs Using Call Graphs</w:t>
      </w:r>
    </w:p>
    <w:p>
      <w:pPr>
        <w:pStyle w:val="BodyText"/>
        <w:spacing w:lineRule="auto" w:line="240" w:before="360" w:after="80"/>
        <w:rPr/>
      </w:pPr>
      <w:r>
        <w:rPr>
          <w:rStyle w:val="Strong"/>
        </w:rPr>
        <w:t>Authors</w:t>
      </w:r>
      <w:r>
        <w:rPr/>
        <w:br/>
        <w:t>Keerthi Pradyun¹*</w:t>
        <w:br/>
        <w:t>Dr. Salman Abdul Moiz¹ (ORCID: 0000-0001-9294-0275)</w:t>
      </w:r>
    </w:p>
    <w:p>
      <w:pPr>
        <w:pStyle w:val="BodyText"/>
        <w:spacing w:lineRule="auto" w:line="240" w:before="360" w:after="80"/>
        <w:rPr/>
      </w:pPr>
      <w:r>
        <w:rPr>
          <w:rStyle w:val="Strong"/>
        </w:rPr>
        <w:t>Affiliation</w:t>
      </w:r>
      <w:r>
        <w:rPr/>
        <w:br/>
        <w:t>¹University of Hyderabad, Gachibowli, Hyderabad, India</w:t>
      </w:r>
    </w:p>
    <w:p>
      <w:pPr>
        <w:pStyle w:val="BodyText"/>
        <w:spacing w:lineRule="auto" w:line="240" w:before="360" w:after="80"/>
        <w:rPr/>
      </w:pPr>
      <w:r>
        <w:rPr>
          <w:rStyle w:val="Strong"/>
        </w:rPr>
        <w:t>Corresponding Author</w:t>
      </w:r>
      <w:r>
        <w:rPr/>
        <w:br/>
        <w:t>*Email: kpradyun18@gmail.com</w:t>
      </w:r>
    </w:p>
    <w:p>
      <w:pPr>
        <w:pStyle w:val="BodyText"/>
        <w:spacing w:lineRule="auto" w:line="240" w:before="360" w:after="80"/>
        <w:rPr/>
      </w:pPr>
      <w:r>
        <w:rPr>
          <w:rStyle w:val="Strong"/>
        </w:rPr>
        <w:t>Co-author Email</w:t>
      </w:r>
      <w:r>
        <w:rPr/>
        <w:br/>
        <w:t>salman@uohyd.ac.in</w:t>
      </w:r>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Heading2"/>
        <w:spacing w:before="0" w:after="200"/>
        <w:rPr/>
      </w:pPr>
      <w:r>
        <w:rPr/>
        <w:t>Abstract</w:t>
      </w:r>
    </w:p>
    <w:p>
      <w:pPr>
        <w:pStyle w:val="BodyText"/>
        <w:spacing w:before="0" w:after="200"/>
        <w:rPr/>
      </w:pPr>
      <w:r>
        <w:rPr/>
        <w:t xml:space="preserve">Large-scale C programs frequently exhibit complex and deeply layered interprocedural relationships that complicate architectural understanding, refactoring, and optimization efforts. This paper presents the </w:t>
      </w:r>
      <w:r>
        <w:rPr>
          <w:i/>
          <w:iCs/>
        </w:rPr>
        <w:t>Static Structural Call-Graph Analysis (SSCA) Strategy</w:t>
      </w:r>
      <w:r>
        <w:rPr/>
        <w:t xml:space="preserve">, a unified methodology designed to transform static call-graph information into actionable architectural insights. SSCA integrates </w:t>
      </w:r>
      <w:r>
        <w:rPr>
          <w:i/>
          <w:iCs/>
        </w:rPr>
        <w:t>call-graph extraction, structural metric computation, Structural Centrality Scoring, critical-path detection, modularity analysis, and comparative interpretation using dynamic profiling</w:t>
      </w:r>
      <w:r>
        <w:rPr/>
        <w:t>. Unlike previous studies that primarily emphasize extractor precision or descriptive properties of software networks, SSCA provides a prescriptive, optimization-oriented workflow that directly supports architecture-level decision-making. A controlled empirical study using a representative C program demonstrates the effectiveness of this strategy. The analysis reveals key coordination functions with disproportionately high architectural influence, shared utilities with elevated structural importance, and deep call chains contributing to increased complexity.  These results collectively demonstrate that SSCA provides a rigorous and quantifiable architectural evaluation framework, offering developers a systematic approach for improving maintainability, performance, and structural clarity in C-based software systems.</w:t>
      </w:r>
    </w:p>
    <w:p>
      <w:pPr>
        <w:pStyle w:val="Heading3"/>
        <w:spacing w:before="0" w:after="200"/>
        <w:rPr/>
      </w:pPr>
      <w:r>
        <w:rPr/>
        <w:t>Keywords</w:t>
      </w:r>
    </w:p>
    <w:p>
      <w:pPr>
        <w:pStyle w:val="BodyText"/>
        <w:spacing w:before="0" w:after="200"/>
        <w:rPr/>
      </w:pPr>
      <w:r>
        <w:rPr/>
        <w:t>Static Call Graph Analysis; Architectural Optimization; C Program Analysis; Structural Metrics; Software Modularity; Static–Dynamic Profiling</w:t>
      </w:r>
    </w:p>
    <w:p>
      <w:pPr>
        <w:pStyle w:val="HorizontalLine"/>
        <w:spacing w:before="0" w:after="200"/>
        <w:rPr/>
      </w:pPr>
      <w:r>
        <w:rPr/>
      </w:r>
    </w:p>
    <w:p>
      <w:pPr>
        <w:pStyle w:val="Heading2"/>
        <w:spacing w:before="0" w:after="200"/>
        <w:rPr/>
      </w:pPr>
      <w:r>
        <w:rPr/>
        <w:t>1. Introduction</w:t>
      </w:r>
    </w:p>
    <w:p>
      <w:pPr>
        <w:pStyle w:val="BodyText"/>
        <w:spacing w:before="0" w:after="200"/>
        <w:rPr/>
      </w:pPr>
      <w:r>
        <w:rPr/>
        <w:t>Software systems implemented in C often evolve into complex, large-scale codebases characterized by deeply nested and widely dispersed functional dependencies. As systems grow, maintaining architectural clarity becomes increasingly difficult, leaving developers without the structural visibility required to carry out informed refactoring or optimization. Static call graphs offer an established abstraction for representing interprocedural control-transfer relationships, enabling developers to reason about architectural structure without relying on dynamic execution traces alone.</w:t>
      </w:r>
    </w:p>
    <w:p>
      <w:pPr>
        <w:pStyle w:val="BodyText"/>
        <w:spacing w:before="0" w:after="200"/>
        <w:rPr/>
      </w:pPr>
      <w:r>
        <w:rPr/>
        <w:t>C continues to dominate systems-level development across domains such as embedded systems, IoT firmware, compiler front ends, and safety-critical applications. These environments demand predictable behavior, low memory usage, and verifiable designs. While compiler optimizations improve performance at the machine level, they offer limited visibility into architectural structure. The SSCA strategy addresses this gap by emphasizing source-level structural optimization using static call-graph analysis. It provides developers with insights that support maintainability, refactoring, and long-term architectural clarity—capabilities not offered by traditional compiler pipelines.</w:t>
      </w:r>
    </w:p>
    <w:p>
      <w:pPr>
        <w:pStyle w:val="BodyText"/>
        <w:spacing w:before="0" w:after="200"/>
        <w:rPr/>
      </w:pPr>
      <w:r>
        <w:rPr/>
        <w:t>Prior work covers call-graph extraction, network-theoretic perspectives, and static analysis infrastructures, but these efforts stop at describing graph properties rather than interpreting them for architectural improvement. Existing studies do not establish how structural metrics should be applied to identify hotspots or guide refactoring. They also lack a framework for integrating static insights with dynamic profiling to support evidence-based optimization decisions. SSCA addresses these shortcomings by providing a unified, prescriptive methodology.</w:t>
      </w:r>
    </w:p>
    <w:p>
      <w:pPr>
        <w:pStyle w:val="BodyText"/>
        <w:spacing w:before="0" w:after="200"/>
        <w:rPr/>
      </w:pPr>
      <w:r>
        <w:rPr/>
        <w:t xml:space="preserve">To address these gaps, this paper introduces the </w:t>
      </w:r>
      <w:r>
        <w:rPr>
          <w:rStyle w:val="Strong"/>
          <w:b w:val="false"/>
          <w:bCs w:val="false"/>
          <w:i/>
          <w:iCs/>
        </w:rPr>
        <w:t>Static Structural Call-Graph Analysis (SSCA) Strategy</w:t>
      </w:r>
      <w:r>
        <w:rPr/>
        <w:t>, a structured, metric-driven workflow designed explicitly for architectural assessment and optimization guidance.</w:t>
      </w:r>
    </w:p>
    <w:p>
      <w:pPr>
        <w:pStyle w:val="BodyText"/>
        <w:spacing w:before="0" w:after="200"/>
        <w:rPr/>
      </w:pPr>
      <w:r>
        <w:rPr/>
        <w:t>Standard compiler optimizations, such as those produced by GCC’s -O3, operate as black-box transformations that improve runtime behavior without exposing structural issues or guiding refactoring. They do not help developers understand architectural dependencies or bottlenecks. In contrast, SSCA is a white-box framework focused on architectural reasoning. It exposes source-level structural bottlenecks, deep call chains, and modular inconsistencies, enabling developers to make informed optimization and maintainability decisions.</w:t>
      </w:r>
    </w:p>
    <w:p>
      <w:pPr>
        <w:pStyle w:val="Heading3"/>
        <w:spacing w:before="0" w:after="200"/>
        <w:rPr/>
      </w:pPr>
      <w:r>
        <w:rPr/>
        <w:t>Research Questions</w:t>
      </w:r>
    </w:p>
    <w:p>
      <w:pPr>
        <w:pStyle w:val="BodyText"/>
        <w:spacing w:before="0" w:after="200"/>
        <w:rPr/>
      </w:pPr>
      <w:r>
        <w:rPr>
          <w:rStyle w:val="Strong"/>
          <w:b w:val="false"/>
          <w:bCs w:val="false"/>
        </w:rPr>
        <w:t>RQ1:</w:t>
      </w:r>
      <w:r>
        <w:rPr/>
        <w:t xml:space="preserve"> How can static call-graph analysis be systematically leveraged to identify architectural optimization candidates in C programs?</w:t>
      </w:r>
    </w:p>
    <w:p>
      <w:pPr>
        <w:pStyle w:val="BodyText"/>
        <w:spacing w:before="0" w:after="200"/>
        <w:rPr/>
      </w:pPr>
      <w:r>
        <w:rPr>
          <w:rStyle w:val="Strong"/>
          <w:b w:val="false"/>
          <w:bCs w:val="false"/>
        </w:rPr>
        <w:t>RQ2:</w:t>
      </w:r>
      <w:r>
        <w:rPr/>
        <w:t xml:space="preserve"> How can dynamic profiling insights complement static structural metrics to enhance architectural interpretation and optimization decision-making?</w:t>
      </w:r>
    </w:p>
    <w:p>
      <w:pPr>
        <w:pStyle w:val="Heading3"/>
        <w:spacing w:before="0" w:after="200"/>
        <w:rPr/>
      </w:pPr>
      <w:r>
        <w:rPr/>
        <w:t>Contributions of This Paper</w:t>
      </w:r>
    </w:p>
    <w:p>
      <w:pPr>
        <w:pStyle w:val="BodyText"/>
        <w:spacing w:before="0" w:after="200"/>
        <w:rPr/>
      </w:pPr>
      <w:r>
        <w:rPr/>
        <w:t>This paper makes the following contributions:</w:t>
      </w:r>
    </w:p>
    <w:p>
      <w:pPr>
        <w:pStyle w:val="BodyText"/>
        <w:numPr>
          <w:ilvl w:val="0"/>
          <w:numId w:val="5"/>
        </w:numPr>
        <w:tabs>
          <w:tab w:val="clear" w:pos="720"/>
          <w:tab w:val="left" w:pos="0" w:leader="none"/>
        </w:tabs>
        <w:spacing w:before="0" w:after="200"/>
        <w:rPr/>
      </w:pPr>
      <w:r>
        <w:rPr>
          <w:rStyle w:val="Strong"/>
          <w:b w:val="false"/>
          <w:bCs w:val="false"/>
          <w:i/>
          <w:iCs/>
        </w:rPr>
        <w:t>Static Structural Call-Graph Analysis (SSCA) Strategy</w:t>
      </w:r>
      <w:r>
        <w:rPr/>
        <w:t xml:space="preserve"> – A formally defined architectural analysis methodology built on static call-graph extraction, structural metrics, and interpretative heuristics.</w:t>
      </w:r>
    </w:p>
    <w:p>
      <w:pPr>
        <w:pStyle w:val="BodyText"/>
        <w:numPr>
          <w:ilvl w:val="0"/>
          <w:numId w:val="5"/>
        </w:numPr>
        <w:tabs>
          <w:tab w:val="clear" w:pos="720"/>
          <w:tab w:val="left" w:pos="0" w:leader="none"/>
        </w:tabs>
        <w:spacing w:before="0" w:after="200"/>
        <w:rPr/>
      </w:pPr>
      <w:r>
        <w:rPr>
          <w:rStyle w:val="Strong"/>
          <w:b w:val="false"/>
          <w:bCs w:val="false"/>
          <w:i/>
          <w:iCs/>
        </w:rPr>
        <w:t>Structural Centrality Scoring (SCS)</w:t>
      </w:r>
      <w:r>
        <w:rPr/>
        <w:t xml:space="preserve"> – A normalized metric combining betweenness centrality and PageRank to quantify architectural influence.</w:t>
      </w:r>
    </w:p>
    <w:p>
      <w:pPr>
        <w:pStyle w:val="BodyText"/>
        <w:numPr>
          <w:ilvl w:val="0"/>
          <w:numId w:val="5"/>
        </w:numPr>
        <w:tabs>
          <w:tab w:val="clear" w:pos="720"/>
          <w:tab w:val="left" w:pos="0" w:leader="none"/>
        </w:tabs>
        <w:spacing w:before="0" w:after="200"/>
        <w:rPr/>
      </w:pPr>
      <w:r>
        <w:rPr>
          <w:rStyle w:val="Strong"/>
          <w:b w:val="false"/>
          <w:bCs w:val="false"/>
          <w:i/>
          <w:iCs/>
        </w:rPr>
        <w:t>Critical Path Structural Analysis (CPSA)</w:t>
      </w:r>
      <w:r>
        <w:rPr/>
        <w:t xml:space="preserve"> – A technique for identifying architecturally significant deep call chains based on cumulative structural influence.</w:t>
      </w:r>
    </w:p>
    <w:p>
      <w:pPr>
        <w:pStyle w:val="BodyText"/>
        <w:numPr>
          <w:ilvl w:val="0"/>
          <w:numId w:val="5"/>
        </w:numPr>
        <w:tabs>
          <w:tab w:val="clear" w:pos="720"/>
          <w:tab w:val="left" w:pos="0" w:leader="none"/>
        </w:tabs>
        <w:spacing w:before="0" w:after="200"/>
        <w:rPr/>
      </w:pPr>
      <w:r>
        <w:rPr>
          <w:rStyle w:val="Strong"/>
          <w:b w:val="false"/>
          <w:bCs w:val="false"/>
          <w:i/>
          <w:iCs/>
        </w:rPr>
        <w:t>Functional Modularity Detection (FMD)</w:t>
      </w:r>
      <w:r>
        <w:rPr/>
        <w:t xml:space="preserve"> – A community-detection–based approach for identifying potential architectural modules.</w:t>
      </w:r>
    </w:p>
    <w:p>
      <w:pPr>
        <w:pStyle w:val="BodyText"/>
        <w:numPr>
          <w:ilvl w:val="0"/>
          <w:numId w:val="5"/>
        </w:numPr>
        <w:tabs>
          <w:tab w:val="clear" w:pos="720"/>
          <w:tab w:val="left" w:pos="0" w:leader="none"/>
        </w:tabs>
        <w:spacing w:before="0" w:after="200"/>
        <w:rPr/>
      </w:pPr>
      <w:r>
        <w:rPr>
          <w:rStyle w:val="Strong"/>
          <w:b w:val="false"/>
          <w:bCs w:val="false"/>
          <w:i/>
          <w:iCs/>
        </w:rPr>
        <w:t>Static–Dynamic Comparative Interpretation Framework</w:t>
      </w:r>
      <w:r>
        <w:rPr/>
        <w:t xml:space="preserve"> – A structured procedure for integrating static structural insights with dynamic profiling data.</w:t>
      </w:r>
    </w:p>
    <w:p>
      <w:pPr>
        <w:pStyle w:val="HorizontalLine"/>
        <w:spacing w:before="0" w:after="200"/>
        <w:rPr/>
      </w:pPr>
      <w:r>
        <w:rPr/>
      </w:r>
    </w:p>
    <w:p>
      <w:pPr>
        <w:pStyle w:val="Heading2"/>
        <w:spacing w:before="0" w:after="200"/>
        <w:rPr/>
      </w:pPr>
      <w:r>
        <w:rPr/>
        <w:t>2. Background and Related Work</w:t>
      </w:r>
    </w:p>
    <w:p>
      <w:pPr>
        <w:pStyle w:val="BodyText"/>
        <w:spacing w:before="0" w:after="200"/>
        <w:rPr/>
      </w:pPr>
      <w:r>
        <w:rPr/>
        <w:t>This section surveys relevant literature chronologically and identifies gaps that motivate the SSCA strategy.</w:t>
      </w:r>
    </w:p>
    <w:p>
      <w:pPr>
        <w:pStyle w:val="Heading3"/>
        <w:spacing w:before="0" w:after="200"/>
        <w:rPr/>
      </w:pPr>
      <w:r>
        <w:rPr/>
        <w:t>2.1 Call-Graph Extractors and Their Limitations</w:t>
      </w:r>
    </w:p>
    <w:p>
      <w:pPr>
        <w:pStyle w:val="BodyText"/>
        <w:spacing w:before="0" w:after="200"/>
        <w:rPr/>
      </w:pPr>
      <w:r>
        <w:rPr/>
        <w:t xml:space="preserve">Early research, such as the </w:t>
      </w:r>
      <w:r>
        <w:rPr>
          <w:i/>
        </w:rPr>
        <w:t>Empirical Study of Static Call Graph Extractors</w:t>
      </w:r>
      <w:r>
        <w:rPr/>
        <w:t xml:space="preserve"> [1], focused primarily on the precision of toolchains. While these studies </w:t>
      </w:r>
      <w:r>
        <w:rPr>
          <w:b w:val="false"/>
          <w:bCs w:val="false"/>
          <w:i/>
          <w:iCs/>
        </w:rPr>
        <w:t>cited</w:t>
      </w:r>
      <w:r>
        <w:rPr/>
        <w:t xml:space="preserve"> and </w:t>
      </w:r>
      <w:r>
        <w:rPr>
          <w:b w:val="false"/>
          <w:bCs w:val="false"/>
          <w:i/>
          <w:iCs/>
        </w:rPr>
        <w:t>compared</w:t>
      </w:r>
      <w:r>
        <w:rPr/>
        <w:t xml:space="preserve"> various extraction algorithms, they</w:t>
      </w:r>
      <w:r>
        <w:rPr>
          <w:b w:val="false"/>
          <w:bCs w:val="false"/>
          <w:i/>
          <w:iCs/>
        </w:rPr>
        <w:t xml:space="preserve"> </w:t>
      </w:r>
      <w:r>
        <w:rPr>
          <w:b w:val="false"/>
          <w:bCs w:val="false"/>
          <w:i/>
          <w:iCs/>
        </w:rPr>
        <w:t>contrasted</w:t>
      </w:r>
      <w:r>
        <w:rPr>
          <w:b w:val="false"/>
          <w:bCs w:val="false"/>
          <w:i/>
          <w:iCs/>
        </w:rPr>
        <w:t xml:space="preserve"> </w:t>
      </w:r>
      <w:r>
        <w:rPr/>
        <w:t xml:space="preserve">tools based solely on language support and precision. A key </w:t>
      </w:r>
      <w:r>
        <w:rPr>
          <w:b w:val="false"/>
          <w:bCs w:val="false"/>
          <w:i/>
          <w:iCs/>
        </w:rPr>
        <w:t>critique</w:t>
      </w:r>
      <w:r>
        <w:rPr/>
        <w:t xml:space="preserve"> of this body of work is its lack of architectural interpretation; knowing the graph topology is insufficient without a framework to apply it to optimization.</w:t>
      </w:r>
    </w:p>
    <w:p>
      <w:pPr>
        <w:pStyle w:val="Heading3"/>
        <w:spacing w:before="0" w:after="200"/>
        <w:rPr/>
      </w:pPr>
      <w:r>
        <w:rPr/>
        <w:t>2.2 Complex Network Analysis in Software Architecture</w:t>
      </w:r>
    </w:p>
    <w:p>
      <w:pPr>
        <w:pStyle w:val="BodyText"/>
        <w:spacing w:before="0" w:after="200"/>
        <w:rPr/>
      </w:pPr>
      <w:r>
        <w:rPr/>
        <w:t xml:space="preserve">Subsequent studies applied network science to software, as seen in </w:t>
      </w:r>
      <w:r>
        <w:rPr>
          <w:i/>
        </w:rPr>
        <w:t>Complex Networks Analysis for Software Architecture</w:t>
      </w:r>
      <w:r>
        <w:rPr/>
        <w:t xml:space="preserve"> [2]. This work </w:t>
      </w:r>
      <w:r>
        <w:rPr>
          <w:b w:val="false"/>
          <w:bCs w:val="false"/>
        </w:rPr>
        <w:t>connected</w:t>
      </w:r>
      <w:r>
        <w:rPr/>
        <w:t xml:space="preserve"> graph-theoretic metrics like betweenness centrality to software structure. However, it remained descriptive rather than prescriptive. While it could identify 'god classes,' it did not offer a methodology for prioritizing these findings for refactoring.</w:t>
      </w:r>
    </w:p>
    <w:p>
      <w:pPr>
        <w:pStyle w:val="Heading3"/>
        <w:spacing w:before="0" w:after="200"/>
        <w:rPr/>
      </w:pPr>
      <w:r>
        <w:rPr/>
        <w:t>2.3 Static Analysis Frameworks for C/C++</w:t>
      </w:r>
    </w:p>
    <w:p>
      <w:pPr>
        <w:pStyle w:val="BodyText"/>
        <w:spacing w:before="0" w:after="200"/>
        <w:rPr/>
      </w:pPr>
      <w:r>
        <w:rPr/>
        <w:t xml:space="preserve">More recent advancements include LLVM-based infrastructures like </w:t>
      </w:r>
      <w:r>
        <w:rPr>
          <w:i/>
        </w:rPr>
        <w:t>PhASAR</w:t>
      </w:r>
      <w:r>
        <w:rPr/>
        <w:t xml:space="preserve"> [3]. These frameworks provide robust environments for inter-procedural analysis but operate at a low level of abstraction. They function as tools for building analyses rather than as decision-support systems for software architects.</w:t>
      </w:r>
    </w:p>
    <w:p>
      <w:pPr>
        <w:pStyle w:val="Heading3"/>
        <w:spacing w:before="0" w:after="200"/>
        <w:rPr/>
      </w:pPr>
      <w:r>
        <w:rPr/>
        <w:t>2.4 Gaps in the Literature</w:t>
      </w:r>
    </w:p>
    <w:p>
      <w:pPr>
        <w:pStyle w:val="BodyText"/>
        <w:spacing w:before="0" w:after="200"/>
        <w:rPr/>
      </w:pPr>
      <w:r>
        <w:rPr/>
        <w:t>The following gaps emerge from the literature:</w:t>
      </w:r>
    </w:p>
    <w:p>
      <w:pPr>
        <w:pStyle w:val="BodyText"/>
        <w:numPr>
          <w:ilvl w:val="0"/>
          <w:numId w:val="3"/>
        </w:numPr>
        <w:tabs>
          <w:tab w:val="clear" w:pos="720"/>
          <w:tab w:val="left" w:pos="0" w:leader="none"/>
        </w:tabs>
        <w:spacing w:before="0" w:after="200"/>
        <w:ind w:hanging="283" w:left="709"/>
        <w:rPr/>
      </w:pPr>
      <w:r>
        <w:rPr/>
        <w:t>Existing research does not present a unified methodology connecting call-graph metrics to architectural optimization.</w:t>
      </w:r>
    </w:p>
    <w:p>
      <w:pPr>
        <w:pStyle w:val="BodyText"/>
        <w:numPr>
          <w:ilvl w:val="0"/>
          <w:numId w:val="3"/>
        </w:numPr>
        <w:tabs>
          <w:tab w:val="clear" w:pos="720"/>
          <w:tab w:val="left" w:pos="0" w:leader="none"/>
        </w:tabs>
        <w:spacing w:before="0" w:after="200"/>
        <w:ind w:hanging="283" w:left="709"/>
        <w:rPr/>
      </w:pPr>
      <w:r>
        <w:rPr/>
        <w:t>No framework integrates static structural metrics with dynamic profiling to prioritize refactoring.</w:t>
      </w:r>
    </w:p>
    <w:p>
      <w:pPr>
        <w:pStyle w:val="BodyText"/>
        <w:numPr>
          <w:ilvl w:val="0"/>
          <w:numId w:val="3"/>
        </w:numPr>
        <w:tabs>
          <w:tab w:val="clear" w:pos="720"/>
          <w:tab w:val="left" w:pos="0" w:leader="none"/>
        </w:tabs>
        <w:spacing w:before="0" w:after="200"/>
        <w:ind w:hanging="283" w:left="709"/>
        <w:rPr/>
      </w:pPr>
      <w:r>
        <w:rPr/>
        <w:t>Prior work lacks prescriptive guidance on interpreting structural metrics for architectural decision-making.</w:t>
      </w:r>
    </w:p>
    <w:p>
      <w:pPr>
        <w:pStyle w:val="BodyText"/>
        <w:spacing w:before="0" w:after="200"/>
        <w:rPr/>
      </w:pPr>
      <w:r>
        <w:rPr/>
        <w:t>These gaps directly motivate the SSCA strategy proposed in this paper.</w:t>
      </w:r>
    </w:p>
    <w:p>
      <w:pPr>
        <w:pStyle w:val="HorizontalLine"/>
        <w:spacing w:before="0" w:after="200"/>
        <w:rPr/>
      </w:pPr>
      <w:r>
        <w:rPr/>
      </w:r>
    </w:p>
    <w:p>
      <w:pPr>
        <w:pStyle w:val="Heading2"/>
        <w:spacing w:before="0" w:after="200"/>
        <w:rPr/>
      </w:pPr>
      <w:r>
        <w:rPr/>
        <w:t>3. Proposed Static Structural Call-Graph Analysis (SSCA) Strategy</w:t>
      </w:r>
    </w:p>
    <w:p>
      <w:pPr>
        <w:pStyle w:val="BodyText"/>
        <w:spacing w:before="0" w:after="200"/>
        <w:rPr/>
      </w:pPr>
      <w:r>
        <w:rPr/>
        <w:t>The SSCA strategy is a structured workflow designed to extract meaningful architectural insights from C program call graphs.</w:t>
      </w:r>
    </w:p>
    <w:p>
      <w:pPr>
        <w:pStyle w:val="Heading3"/>
        <w:spacing w:before="0" w:after="200"/>
        <w:rPr/>
      </w:pPr>
      <w:r>
        <w:rPr/>
        <w:t>3.1 Method Overview</w:t>
      </w:r>
    </w:p>
    <w:p>
      <w:pPr>
        <w:pStyle w:val="BodyText"/>
        <w:spacing w:before="0" w:after="200"/>
        <w:rPr>
          <w:sz w:val="20"/>
          <w:szCs w:val="24"/>
        </w:rPr>
      </w:pPr>
      <w:r>
        <w:rPr/>
        <w:t>SSCA begins with static call-graph extraction using Doxygen and GraphViz and proceeds through several analytical stages: graph normalization, structural metric computation, structural centrality scoring, critical-path identification, and modularity detection. Optional dynamic profiling augments the analysis by identifying functions whose runtime behavior aligns with or diverges from their static architectural roles.</w:t>
      </w:r>
    </w:p>
    <w:p>
      <w:pPr>
        <w:pStyle w:val="BodyText"/>
        <w:spacing w:before="0" w:after="200"/>
        <w:rPr/>
      </w:pPr>
      <w:r>
        <w:rPr/>
        <w:br/>
      </w:r>
      <w:r>
        <w:rPr>
          <w:rStyle w:val="Emphasis"/>
        </w:rPr>
        <w:t>Deep call chain:</w:t>
      </w:r>
      <w:r>
        <w:rPr/>
        <w:t xml:space="preserve"> A call sequence whose length exceeds typical architectural depth, often causing latency and maintainability issues.</w:t>
        <w:br/>
      </w:r>
      <w:r>
        <w:rPr>
          <w:rStyle w:val="Emphasis"/>
        </w:rPr>
        <w:t>Modular inconsistency:</w:t>
      </w:r>
      <w:r>
        <w:rPr/>
        <w:t xml:space="preserve"> A structural misalignment where function clusters do not match logical or functional module boundaries</w:t>
      </w:r>
    </w:p>
    <w:p>
      <w:pPr>
        <w:pStyle w:val="Heading3"/>
        <w:spacing w:before="0" w:after="200"/>
        <w:rPr/>
      </w:pPr>
      <w:r>
        <w:rPr/>
        <w:t>3.2 Algorithm: SSCA Workflow</w:t>
      </w:r>
    </w:p>
    <w:p>
      <w:pPr>
        <w:pStyle w:val="Heading3"/>
        <w:spacing w:lineRule="auto" w:line="274" w:before="0" w:after="80"/>
        <w:ind w:hanging="0" w:left="0" w:right="0"/>
        <w:rPr>
          <w:rFonts w:ascii="Google Sans Text;sans-serif" w:hAnsi="Google Sans Text;sans-serif"/>
          <w:b/>
        </w:rPr>
      </w:pPr>
      <w:r>
        <w:rPr>
          <w:rFonts w:ascii="Google Sans Text;sans-serif" w:hAnsi="Google Sans Text;sans-serif"/>
          <w:b/>
        </w:rPr>
        <w:t>Algorithm 1: Static Structural Call-Graph Analysis (SSCA)</w:t>
      </w:r>
    </w:p>
    <w:p>
      <w:pPr>
        <w:pStyle w:val="BodyText"/>
        <w:spacing w:lineRule="auto" w:line="274" w:before="0" w:after="80"/>
        <w:rPr/>
      </w:pPr>
      <w:r>
        <w:rPr>
          <w:rStyle w:val="Strong"/>
          <w:rFonts w:ascii="Google Sans Text;sans-serif" w:hAnsi="Google Sans Text;sans-serif"/>
          <w:b w:val="false"/>
          <w:bCs w:val="false"/>
          <w:i/>
          <w:iCs/>
        </w:rPr>
        <w:t>Input:</w:t>
      </w:r>
      <w:r>
        <w:rPr>
          <w:rFonts w:ascii="Google Sans Text;sans-serif" w:hAnsi="Google Sans Text;sans-serif"/>
          <w:b w:val="false"/>
          <w:bCs w:val="false"/>
          <w:i/>
          <w:iCs/>
        </w:rPr>
        <w:t xml:space="preserve"> Set of C source files S</w:t>
        <w:br/>
      </w:r>
      <w:r>
        <w:rPr>
          <w:rStyle w:val="Strong"/>
          <w:rFonts w:ascii="Google Sans Text;sans-serif" w:hAnsi="Google Sans Text;sans-serif"/>
          <w:b w:val="false"/>
          <w:bCs w:val="false"/>
          <w:i/>
          <w:iCs/>
        </w:rPr>
        <w:t>Output:</w:t>
      </w:r>
      <w:r>
        <w:rPr>
          <w:rFonts w:ascii="Google Sans Text;sans-serif" w:hAnsi="Google Sans Text;sans-serif"/>
          <w:b w:val="false"/>
          <w:bCs w:val="false"/>
          <w:i/>
          <w:iCs/>
        </w:rPr>
        <w:t xml:space="preserve"> Set of Critical Paths P, Structural Centrality Scores SCS, Modular Clusters M, Set of Dead Functions D</w:t>
      </w:r>
    </w:p>
    <w:p>
      <w:pPr>
        <w:pStyle w:val="BodyText"/>
        <w:spacing w:lineRule="auto" w:line="274" w:before="0" w:after="180"/>
        <w:ind w:hanging="0" w:left="0" w:right="0"/>
        <w:rPr>
          <w:rFonts w:ascii="Google Sans Text;sans-serif" w:hAnsi="Google Sans Text;sans-serif"/>
        </w:rPr>
      </w:pPr>
      <w:r>
        <w:rPr>
          <w:rStyle w:val="Strong"/>
          <w:rFonts w:ascii="Google Sans Text;sans-serif" w:hAnsi="Google Sans Text;sans-serif"/>
          <w:b w:val="false"/>
          <w:bCs w:val="false"/>
        </w:rPr>
        <w:t>Phase 1: Extraction and Normalization</w:t>
      </w:r>
      <w:r>
        <w:rPr>
          <w:rFonts w:ascii="Google Sans Text;sans-serif" w:hAnsi="Google Sans Text;sans-serif"/>
        </w:rPr>
        <w:br/>
        <w:t>G_raw ← ExtractCallGraph(S) using Doxygen</w:t>
        <w:br/>
        <w:t>G(V, E) ← NormalizeAndConsolidate(G_raw)</w:t>
        <w:br/>
        <w:t>V_entry ← { v in V such that InDegree(v) = 0 }</w:t>
      </w:r>
    </w:p>
    <w:p>
      <w:pPr>
        <w:pStyle w:val="BodyText"/>
        <w:spacing w:lineRule="auto" w:line="274" w:before="0" w:after="180"/>
        <w:rPr>
          <w:rFonts w:ascii="Google Sans Text;sans-serif" w:hAnsi="Google Sans Text;sans-serif"/>
        </w:rPr>
      </w:pPr>
      <w:r>
        <w:rPr>
          <w:rStyle w:val="Strong"/>
          <w:rFonts w:ascii="Google Sans Text;sans-serif" w:hAnsi="Google Sans Text;sans-serif"/>
          <w:b w:val="false"/>
          <w:bCs w:val="false"/>
        </w:rPr>
        <w:t>Phase 2: Metric Computation</w:t>
      </w:r>
      <w:r>
        <w:rPr>
          <w:rFonts w:ascii="Google Sans Text;sans-serif" w:hAnsi="Google Sans Text;sans-serif"/>
        </w:rPr>
        <w:br/>
        <w:t>for each node v in V do</w:t>
        <w:br/>
        <w:t> C_bet[v] ← ComputeBetweennessCentrality(G, v)</w:t>
        <w:br/>
        <w:t> C_pr[v] ← ComputePageRank(G, v)</w:t>
        <w:br/>
        <w:t> deg_out[v] ← OutDegree(G, v)</w:t>
        <w:br/>
        <w:t>end for</w:t>
      </w:r>
    </w:p>
    <w:p>
      <w:pPr>
        <w:pStyle w:val="BodyText"/>
        <w:spacing w:lineRule="auto" w:line="274" w:before="0" w:after="180"/>
        <w:rPr>
          <w:rFonts w:ascii="Google Sans Text;sans-serif" w:hAnsi="Google Sans Text;sans-serif"/>
        </w:rPr>
      </w:pPr>
      <w:r>
        <w:rPr>
          <w:rStyle w:val="Strong"/>
          <w:rFonts w:ascii="Google Sans Text;sans-serif" w:hAnsi="Google Sans Text;sans-serif"/>
          <w:b w:val="false"/>
          <w:bCs w:val="false"/>
        </w:rPr>
        <w:t>Phase 3: Structural Analysis</w:t>
      </w:r>
      <w:r>
        <w:rPr>
          <w:rFonts w:ascii="Google Sans Text;sans-serif" w:hAnsi="Google Sans Text;sans-serif"/>
        </w:rPr>
        <w:br/>
        <w:t>SCS ← CalculateStructuralScore(C_bet, C_pr, deg_out)</w:t>
        <w:br/>
        <w:t>P ← IdentifyCriticalPaths(G, SCS)</w:t>
        <w:br/>
        <w:t>M ← DetectCommunities(G) using Louvain Algorithm</w:t>
        <w:br/>
        <w:t>D ← { v in V such that IsUnreachable(V_entry, v) }</w:t>
      </w:r>
    </w:p>
    <w:p>
      <w:pPr>
        <w:pStyle w:val="BodyText"/>
        <w:spacing w:lineRule="auto" w:line="274" w:before="0" w:after="180"/>
        <w:rPr/>
      </w:pPr>
      <w:r>
        <w:rPr>
          <w:rFonts w:ascii="Google Sans Text;sans-serif" w:hAnsi="Google Sans Text;sans-serif"/>
        </w:rPr>
        <w:t>return P, SCS, M, D</w:t>
      </w:r>
    </w:p>
    <w:p>
      <w:pPr>
        <w:pStyle w:val="Heading3"/>
        <w:spacing w:before="0" w:after="200"/>
        <w:rPr/>
      </w:pPr>
      <w:r>
        <w:rPr/>
        <w:t>3.3 Step-by-Step Illustration Using a Sample Program</w:t>
      </w:r>
    </w:p>
    <w:p>
      <w:pPr>
        <w:pStyle w:val="BodyText"/>
        <w:spacing w:before="0" w:after="200"/>
        <w:rPr/>
      </w:pPr>
      <w:r>
        <w:rPr/>
        <w:t xml:space="preserve">In the illustrative example (|V| = 13, |E| = 15), the Louvain detector produced 3 modules with modularity score Q = 0.41. The SCS ranking showed that </w:t>
      </w:r>
      <w:r>
        <w:rPr>
          <w:rStyle w:val="SourceText"/>
        </w:rPr>
        <w:t>process</w:t>
      </w:r>
      <w:r>
        <w:rPr/>
        <w:t xml:space="preserve"> had a combined normalized score of 0.92, while utility functions ranged between 0.55–0.63. The deep call chain detected had height 5, exceeding the typical architectural guideline of depth ≤ 3.</w:t>
      </w:r>
    </w:p>
    <w:p>
      <w:pPr>
        <w:pStyle w:val="BodyText"/>
        <w:numPr>
          <w:ilvl w:val="0"/>
          <w:numId w:val="4"/>
        </w:numPr>
        <w:tabs>
          <w:tab w:val="clear" w:pos="720"/>
          <w:tab w:val="left" w:pos="0" w:leader="none"/>
        </w:tabs>
        <w:spacing w:before="0" w:after="200"/>
        <w:ind w:hanging="283" w:left="709"/>
        <w:rPr/>
      </w:pPr>
      <w:r>
        <w:rPr/>
        <w:t xml:space="preserve">The extractor identifies edges such as </w:t>
      </w:r>
      <w:r>
        <w:rPr>
          <w:rStyle w:val="SourceText"/>
        </w:rPr>
        <w:t>main → process</w:t>
      </w:r>
      <w:r>
        <w:rPr/>
        <w:t xml:space="preserve">, </w:t>
      </w:r>
      <w:r>
        <w:rPr>
          <w:rStyle w:val="SourceText"/>
        </w:rPr>
        <w:t>process → helper_B</w:t>
      </w:r>
      <w:r>
        <w:rPr/>
        <w:t xml:space="preserve">, and </w:t>
      </w:r>
      <w:r>
        <w:rPr>
          <w:rStyle w:val="SourceText"/>
        </w:rPr>
        <w:t>helper_B → square</w:t>
      </w:r>
      <w:r>
        <w:rPr/>
        <w:t>.</w:t>
      </w:r>
    </w:p>
    <w:p>
      <w:pPr>
        <w:pStyle w:val="BodyText"/>
        <w:numPr>
          <w:ilvl w:val="0"/>
          <w:numId w:val="4"/>
        </w:numPr>
        <w:tabs>
          <w:tab w:val="clear" w:pos="720"/>
          <w:tab w:val="left" w:pos="0" w:leader="none"/>
        </w:tabs>
        <w:spacing w:before="0" w:after="200"/>
        <w:ind w:hanging="283" w:left="709"/>
        <w:rPr/>
      </w:pPr>
      <w:r>
        <w:rPr/>
        <w:t>A cycle (</w:t>
      </w:r>
      <w:r>
        <w:rPr>
          <w:rStyle w:val="SourceText"/>
        </w:rPr>
        <w:t>cycle_1 ↔ cycle_2</w:t>
      </w:r>
      <w:r>
        <w:rPr/>
        <w:t>) appears as a separate component.</w:t>
      </w:r>
    </w:p>
    <w:p>
      <w:pPr>
        <w:pStyle w:val="BodyText"/>
        <w:numPr>
          <w:ilvl w:val="0"/>
          <w:numId w:val="4"/>
        </w:numPr>
        <w:tabs>
          <w:tab w:val="clear" w:pos="720"/>
          <w:tab w:val="left" w:pos="0" w:leader="none"/>
        </w:tabs>
        <w:spacing w:before="0" w:after="200"/>
        <w:ind w:hanging="283" w:left="709"/>
        <w:rPr/>
      </w:pPr>
      <w:r>
        <w:rPr/>
        <w:t>Dead code is identified where reachability from entry points is absent.</w:t>
      </w:r>
    </w:p>
    <w:p>
      <w:pPr>
        <w:pStyle w:val="BodyText"/>
        <w:numPr>
          <w:ilvl w:val="0"/>
          <w:numId w:val="4"/>
        </w:numPr>
        <w:tabs>
          <w:tab w:val="clear" w:pos="720"/>
          <w:tab w:val="left" w:pos="0" w:leader="none"/>
        </w:tabs>
        <w:spacing w:before="0" w:after="200"/>
        <w:ind w:hanging="283" w:left="709"/>
        <w:rPr/>
      </w:pPr>
      <w:r>
        <w:rPr/>
        <w:t xml:space="preserve">SCS identifies </w:t>
      </w:r>
      <w:r>
        <w:rPr>
          <w:rStyle w:val="SourceText"/>
        </w:rPr>
        <w:t>process</w:t>
      </w:r>
      <w:r>
        <w:rPr/>
        <w:t xml:space="preserve"> as the dominant dispatcher.</w:t>
      </w:r>
    </w:p>
    <w:p>
      <w:pPr>
        <w:pStyle w:val="BodyText"/>
        <w:numPr>
          <w:ilvl w:val="0"/>
          <w:numId w:val="4"/>
        </w:numPr>
        <w:tabs>
          <w:tab w:val="clear" w:pos="720"/>
          <w:tab w:val="left" w:pos="0" w:leader="none"/>
        </w:tabs>
        <w:spacing w:before="0" w:after="200"/>
        <w:ind w:hanging="283" w:left="709"/>
        <w:rPr/>
      </w:pPr>
      <w:r>
        <w:rPr/>
        <w:t>Community detection reveals modular boundaries.</w:t>
      </w:r>
    </w:p>
    <w:p>
      <w:pPr>
        <w:pStyle w:val="BodyText"/>
        <w:numPr>
          <w:ilvl w:val="0"/>
          <w:numId w:val="4"/>
        </w:numPr>
        <w:tabs>
          <w:tab w:val="clear" w:pos="720"/>
          <w:tab w:val="left" w:pos="0" w:leader="none"/>
        </w:tabs>
        <w:spacing w:before="0" w:after="200"/>
        <w:ind w:hanging="283" w:left="709"/>
        <w:rPr/>
      </w:pPr>
      <w:r>
        <w:rPr/>
        <w:t xml:space="preserve">Critical paths such as </w:t>
      </w:r>
      <w:r>
        <w:rPr>
          <w:rStyle w:val="SourceText"/>
        </w:rPr>
        <w:t>main → process → helper_B → square → multiply</w:t>
      </w:r>
      <w:r>
        <w:rPr/>
        <w:t xml:space="preserve"> emerge.</w:t>
      </w:r>
    </w:p>
    <w:p>
      <w:pPr>
        <w:pStyle w:val="Heading3"/>
        <w:spacing w:before="0" w:after="200"/>
        <w:rPr/>
      </w:pPr>
      <w:r>
        <w:rPr>
          <w:rStyle w:val="Strong"/>
          <w:b w:val="false"/>
          <w:bCs w:val="false"/>
        </w:rPr>
        <w:t>3.</w:t>
      </w:r>
      <w:r>
        <w:rPr>
          <w:rStyle w:val="Strong"/>
          <w:b w:val="false"/>
          <w:bCs w:val="false"/>
        </w:rPr>
        <w:t>4</w:t>
      </w:r>
      <w:r>
        <w:rPr>
          <w:rStyle w:val="Strong"/>
          <w:b w:val="false"/>
          <w:bCs w:val="false"/>
        </w:rPr>
        <w:t xml:space="preserve"> </w:t>
      </w:r>
      <w:r>
        <w:rPr>
          <w:rStyle w:val="Strong"/>
          <w:b w:val="false"/>
          <w:bCs w:val="false"/>
        </w:rPr>
        <w:t>Metrics Used</w:t>
      </w:r>
    </w:p>
    <w:p>
      <w:pPr>
        <w:pStyle w:val="BodyText"/>
        <w:numPr>
          <w:ilvl w:val="0"/>
          <w:numId w:val="6"/>
        </w:numPr>
        <w:tabs>
          <w:tab w:val="clear" w:pos="720"/>
          <w:tab w:val="left" w:pos="0" w:leader="none"/>
        </w:tabs>
        <w:spacing w:before="0" w:after="200"/>
        <w:ind w:hanging="283" w:left="709"/>
        <w:rPr/>
      </w:pPr>
      <w:r>
        <w:rPr>
          <w:rStyle w:val="Strong"/>
          <w:b w:val="false"/>
          <w:bCs w:val="false"/>
          <w:i/>
          <w:iCs/>
        </w:rPr>
        <w:t>Betweenness centrality</w:t>
      </w:r>
      <w:r>
        <w:rPr>
          <w:b w:val="false"/>
          <w:bCs w:val="false"/>
        </w:rPr>
        <w:t xml:space="preserve"> quantifies the extent to which a function acts as a coordination point in the call graph, defined as follows:</w:t>
        <w:br/>
      </w:r>
      <w:r>
        <w:rPr>
          <w:rStyle w:val="Strong"/>
          <w:b w:val="false"/>
          <w:bCs w:val="false"/>
        </w:rPr>
        <w:t>C_bet(v) = Σ_{s ≠ v ≠ t} ( σ_st(v) / σ_st )</w:t>
      </w:r>
      <w:r>
        <w:rPr>
          <w:b w:val="false"/>
          <w:bCs w:val="false"/>
        </w:rPr>
        <w:br/>
        <w:t>For example, a function with high betweenness acts as a dispatcher in branching call chains.</w:t>
        <w:br/>
      </w:r>
      <w:r>
        <w:rPr>
          <w:rStyle w:val="Emphasis"/>
          <w:b w:val="false"/>
          <w:bCs w:val="false"/>
        </w:rPr>
        <w:t>Where:</w:t>
      </w:r>
      <w:r>
        <w:rPr>
          <w:b w:val="false"/>
          <w:bCs w:val="false"/>
        </w:rPr>
        <w:br/>
        <w:t>σ_st = number of shortest paths from s to t</w:t>
        <w:br/>
        <w:t>σ_st(v) = number of those paths that pass through v</w:t>
      </w:r>
    </w:p>
    <w:p>
      <w:pPr>
        <w:pStyle w:val="BodyText"/>
        <w:numPr>
          <w:ilvl w:val="0"/>
          <w:numId w:val="7"/>
        </w:numPr>
        <w:tabs>
          <w:tab w:val="clear" w:pos="720"/>
          <w:tab w:val="left" w:pos="0" w:leader="none"/>
        </w:tabs>
        <w:spacing w:before="0" w:after="200"/>
        <w:ind w:hanging="283" w:left="709"/>
        <w:rPr/>
      </w:pPr>
      <w:r>
        <w:rPr>
          <w:rStyle w:val="Strong"/>
          <w:b w:val="false"/>
          <w:bCs w:val="false"/>
          <w:i/>
          <w:iCs/>
        </w:rPr>
        <w:t>PageRank</w:t>
      </w:r>
      <w:r>
        <w:rPr>
          <w:b w:val="false"/>
          <w:bCs w:val="false"/>
        </w:rPr>
        <w:t xml:space="preserve"> highlights utility and widely depended-upon functions. To capture globally influential utility functions, PageRank is computed as:</w:t>
        <w:br/>
      </w:r>
      <w:r>
        <w:rPr>
          <w:rStyle w:val="Strong"/>
          <w:b w:val="false"/>
          <w:bCs w:val="false"/>
        </w:rPr>
        <w:t>C_pr(v) = α * Σ_{u ∈ Γ⁻(v)} ( C_pr(u) / OutDeg(u) ) + (1 – α) / |V|</w:t>
      </w:r>
      <w:r>
        <w:rPr>
          <w:b w:val="false"/>
          <w:bCs w:val="false"/>
        </w:rPr>
        <w:br/>
        <w:t>For instance, “square” and “multiply” frequently serve as shared mathematical utilities.</w:t>
        <w:br/>
      </w:r>
      <w:r>
        <w:rPr>
          <w:rStyle w:val="Emphasis"/>
          <w:b w:val="false"/>
          <w:bCs w:val="false"/>
        </w:rPr>
        <w:t>Where:</w:t>
      </w:r>
      <w:r>
        <w:rPr>
          <w:b w:val="false"/>
          <w:bCs w:val="false"/>
        </w:rPr>
        <w:br/>
        <w:t>α = damping factor (commonly 0.85)</w:t>
        <w:br/>
        <w:t>Γ⁻(v) = set of nodes calling v</w:t>
        <w:br/>
        <w:t>|V| = number of functions in the call graph</w:t>
      </w:r>
    </w:p>
    <w:p>
      <w:pPr>
        <w:pStyle w:val="BodyText"/>
        <w:numPr>
          <w:ilvl w:val="0"/>
          <w:numId w:val="8"/>
        </w:numPr>
        <w:tabs>
          <w:tab w:val="clear" w:pos="720"/>
          <w:tab w:val="left" w:pos="0" w:leader="none"/>
        </w:tabs>
        <w:spacing w:before="0" w:after="200"/>
        <w:ind w:hanging="283" w:left="709"/>
        <w:rPr/>
      </w:pPr>
      <w:r>
        <w:rPr>
          <w:rStyle w:val="Strong"/>
          <w:b w:val="false"/>
          <w:bCs w:val="false"/>
          <w:i/>
          <w:iCs/>
        </w:rPr>
        <w:t>Structural Centrality Score (SCS)</w:t>
      </w:r>
      <w:r>
        <w:rPr>
          <w:b w:val="false"/>
          <w:bCs w:val="false"/>
        </w:rPr>
        <w:t xml:space="preserve"> combines structural influence and dependency spread. It is defined as:</w:t>
        <w:br/>
      </w:r>
      <w:r>
        <w:rPr>
          <w:rStyle w:val="Strong"/>
          <w:b w:val="false"/>
          <w:bCs w:val="false"/>
        </w:rPr>
        <w:t>SCS(v) = w₁ * Ĉ_bet(v) + w₂ * Ĉ_pr(v) + w₃ * OutDeĝ(v)</w:t>
      </w:r>
      <w:r>
        <w:rPr>
          <w:b w:val="false"/>
          <w:bCs w:val="false"/>
        </w:rPr>
        <w:br/>
      </w:r>
      <w:r>
        <w:rPr>
          <w:rStyle w:val="Emphasis"/>
          <w:b w:val="false"/>
          <w:bCs w:val="false"/>
        </w:rPr>
        <w:t>Where:</w:t>
      </w:r>
      <w:r>
        <w:rPr>
          <w:b w:val="false"/>
          <w:bCs w:val="false"/>
        </w:rPr>
        <w:br/>
        <w:t>Ĉ_bet, Ĉ_pr, OutDeĝ = normalized metrics</w:t>
        <w:br/>
        <w:t>w₁, w₂, w₃ = weights (typically equal)</w:t>
      </w:r>
    </w:p>
    <w:p>
      <w:pPr>
        <w:pStyle w:val="BodyText"/>
        <w:numPr>
          <w:ilvl w:val="0"/>
          <w:numId w:val="9"/>
        </w:numPr>
        <w:tabs>
          <w:tab w:val="clear" w:pos="720"/>
          <w:tab w:val="left" w:pos="0" w:leader="none"/>
        </w:tabs>
        <w:spacing w:before="0" w:after="200"/>
        <w:ind w:hanging="283" w:left="709"/>
        <w:rPr/>
      </w:pPr>
      <w:r>
        <w:rPr>
          <w:rStyle w:val="Strong"/>
          <w:b w:val="false"/>
          <w:bCs w:val="false"/>
          <w:i/>
          <w:iCs/>
        </w:rPr>
        <w:t>Modularity (Q)</w:t>
      </w:r>
      <w:r>
        <w:rPr>
          <w:b w:val="false"/>
          <w:bCs w:val="false"/>
        </w:rPr>
        <w:t xml:space="preserve"> measures how well the call graph decomposes into functional modules. The Louvain algorithm uses the modularity score:</w:t>
        <w:br/>
      </w:r>
      <w:r>
        <w:rPr>
          <w:rStyle w:val="Strong"/>
          <w:b w:val="false"/>
          <w:bCs w:val="false"/>
        </w:rPr>
        <w:t>Q = (1 / (2m)) * Σ_{i,j} [ A_ij – (k_i * k_j) / (2m) ] * δ(c_i, c_j)</w:t>
      </w:r>
      <w:r>
        <w:rPr>
          <w:b w:val="false"/>
          <w:bCs w:val="false"/>
        </w:rPr>
        <w:br/>
      </w:r>
      <w:r>
        <w:rPr>
          <w:rStyle w:val="Emphasis"/>
          <w:b w:val="false"/>
          <w:bCs w:val="false"/>
        </w:rPr>
        <w:t>Where:</w:t>
      </w:r>
      <w:r>
        <w:rPr>
          <w:b w:val="false"/>
          <w:bCs w:val="false"/>
        </w:rPr>
        <w:br/>
        <w:t>A_ij = adjacency matrix</w:t>
        <w:br/>
        <w:t>k_i, k_j = degrees of nodes i and j</w:t>
        <w:br/>
        <w:t>δ(c_i, c_j) = 1 if i and j are in the same community</w:t>
      </w:r>
    </w:p>
    <w:p>
      <w:pPr>
        <w:pStyle w:val="BodyText"/>
        <w:numPr>
          <w:ilvl w:val="0"/>
          <w:numId w:val="0"/>
        </w:numPr>
        <w:spacing w:before="0" w:after="200"/>
        <w:ind w:hanging="0" w:left="0"/>
        <w:rPr>
          <w:b w:val="false"/>
          <w:bCs w:val="false"/>
        </w:rPr>
      </w:pPr>
      <w:r>
        <w:rPr>
          <w:b w:val="false"/>
          <w:bCs w:val="false"/>
        </w:rPr>
      </w:r>
    </w:p>
    <w:p>
      <w:pPr>
        <w:pStyle w:val="BodyText"/>
        <w:numPr>
          <w:ilvl w:val="0"/>
          <w:numId w:val="10"/>
        </w:numPr>
        <w:tabs>
          <w:tab w:val="clear" w:pos="720"/>
          <w:tab w:val="left" w:pos="0" w:leader="none"/>
        </w:tabs>
        <w:spacing w:lineRule="auto" w:line="240" w:before="0" w:after="200"/>
        <w:ind w:hanging="283" w:left="709"/>
        <w:rPr/>
      </w:pPr>
      <w:r>
        <w:rPr>
          <w:rStyle w:val="Strong"/>
          <w:b w:val="false"/>
          <w:bCs w:val="false"/>
          <w:i/>
          <w:iCs/>
        </w:rPr>
        <w:t>Critical Path Score (CPS)</w:t>
      </w:r>
      <w:r>
        <w:rPr>
          <w:b w:val="false"/>
          <w:bCs w:val="false"/>
        </w:rPr>
        <w:t xml:space="preserve"> captures the structural significance of a call chain. It is defined as:</w:t>
        <w:br/>
      </w:r>
      <w:r>
        <w:rPr>
          <w:rStyle w:val="Strong"/>
          <w:b w:val="false"/>
          <w:bCs w:val="false"/>
        </w:rPr>
        <w:t>CPS(p) = Σ_{v ∈ p} SCS(v)</w:t>
      </w:r>
      <w:r>
        <w:rPr>
          <w:rStyle w:val="Strong"/>
          <w:b w:val="false"/>
          <w:bCs w:val="false"/>
          <w:i/>
          <w:iCs/>
        </w:rPr>
        <w:t>}</w:t>
      </w:r>
      <w:r>
        <w:rPr>
          <w:rStyle w:val="Strong"/>
          <w:b w:val="false"/>
          <w:bCs w:val="false"/>
          <w:i/>
          <w:iCs/>
        </w:rPr>
        <w:br/>
      </w:r>
      <w:r>
        <w:rPr>
          <w:rStyle w:val="Emphasis"/>
          <w:b w:val="false"/>
          <w:bCs w:val="false"/>
        </w:rPr>
        <w:t>Where:</w:t>
      </w:r>
      <w:r>
        <w:rPr>
          <w:rStyle w:val="Strong"/>
          <w:b w:val="false"/>
          <w:bCs w:val="false"/>
          <w:i/>
          <w:iCs/>
        </w:rPr>
        <w:br/>
      </w:r>
      <w:r>
        <w:rPr>
          <w:rStyle w:val="Strong"/>
          <w:b w:val="false"/>
          <w:bCs w:val="false"/>
          <w:i w:val="false"/>
          <w:iCs w:val="false"/>
        </w:rPr>
        <w:t>p = { v₁, v₂, …, vₖ } is a path in the call graph</w:t>
        <w:br/>
        <w:t>Higher CPS means higher architectural importance.</w:t>
      </w:r>
    </w:p>
    <w:p>
      <w:pPr>
        <w:pStyle w:val="BodyText"/>
        <w:numPr>
          <w:ilvl w:val="0"/>
          <w:numId w:val="11"/>
        </w:numPr>
        <w:tabs>
          <w:tab w:val="clear" w:pos="720"/>
          <w:tab w:val="left" w:pos="0" w:leader="none"/>
        </w:tabs>
        <w:spacing w:before="0" w:after="200"/>
        <w:ind w:hanging="283" w:left="709"/>
        <w:rPr/>
      </w:pPr>
      <w:r>
        <w:rPr>
          <w:rStyle w:val="Strong"/>
          <w:b w:val="false"/>
          <w:bCs w:val="false"/>
          <w:i/>
          <w:iCs/>
        </w:rPr>
        <w:t>Dead or unreachable functions</w:t>
      </w:r>
      <w:r>
        <w:rPr>
          <w:b w:val="false"/>
          <w:bCs w:val="false"/>
        </w:rPr>
        <w:t xml:space="preserve"> are formally identified using the reachability condition:</w:t>
        <w:br/>
      </w:r>
      <w:r>
        <w:rPr>
          <w:rStyle w:val="Strong"/>
          <w:b w:val="false"/>
          <w:bCs w:val="false"/>
        </w:rPr>
        <w:t>D = { v ∈ V | no path(s, v) exists for any s ∈ V_entry }</w:t>
      </w:r>
      <w:r>
        <w:rPr>
          <w:b w:val="false"/>
          <w:bCs w:val="false"/>
        </w:rPr>
        <w:br/>
      </w:r>
      <w:r>
        <w:rPr>
          <w:rStyle w:val="Emphasis"/>
          <w:b w:val="false"/>
          <w:bCs w:val="false"/>
        </w:rPr>
        <w:t>Where:</w:t>
      </w:r>
      <w:r>
        <w:rPr>
          <w:b w:val="false"/>
          <w:bCs w:val="false"/>
        </w:rPr>
        <w:br/>
        <w:t xml:space="preserve">V_entry = set of entry points (e.g., </w:t>
      </w:r>
      <w:r>
        <w:rPr>
          <w:rStyle w:val="SourceText"/>
          <w:b w:val="false"/>
          <w:bCs w:val="false"/>
        </w:rPr>
        <w:t>main</w:t>
      </w:r>
      <w:r>
        <w:rPr>
          <w:b w:val="false"/>
          <w:bCs w:val="false"/>
        </w:rPr>
        <w:t>)</w:t>
        <w:br/>
        <w:t>If no path exists from any entry point, the function is classified as dead code.</w:t>
      </w:r>
    </w:p>
    <w:p>
      <w:pPr>
        <w:pStyle w:val="Normal"/>
        <w:rPr/>
      </w:pPr>
      <w:bookmarkStart w:id="0" w:name="b.-analyzer-architecture"/>
      <w:bookmarkStart w:id="1" w:name="iv.-implementation"/>
      <w:r>
        <w:rPr/>
        <mc:AlternateContent>
          <mc:Choice Requires="wps">
            <w:drawing>
              <wp:inline distT="0" distB="0" distL="0" distR="0">
                <wp:extent cx="5943600" cy="19050"/>
                <wp:effectExtent l="0" t="0" r="0" b="0"/>
                <wp:docPr id="2"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0"/>
      <w:bookmarkEnd w:id="1"/>
    </w:p>
    <w:p>
      <w:pPr>
        <w:pStyle w:val="Heading2"/>
        <w:spacing w:before="0" w:after="200"/>
        <w:rPr/>
      </w:pPr>
      <w:r>
        <w:rPr/>
        <w:t>4</w:t>
      </w:r>
      <w:r>
        <w:rPr/>
        <w:t>. Results and Analysis</w:t>
      </w:r>
    </w:p>
    <w:p>
      <w:pPr>
        <w:pStyle w:val="Heading3"/>
        <w:spacing w:before="0" w:after="200"/>
        <w:rPr/>
      </w:pPr>
      <w:r>
        <w:rPr/>
        <w:t>4</w:t>
      </w:r>
      <w:r>
        <w:rPr/>
        <w:t>.1 Toolchain and Analyzer Architecture</w:t>
      </w:r>
    </w:p>
    <w:p>
      <w:pPr>
        <w:pStyle w:val="Heading4"/>
        <w:rPr/>
      </w:pPr>
      <w:r>
        <w:rPr/>
        <w:t>A. Tool Configuration</w:t>
      </w:r>
    </w:p>
    <w:p>
      <w:pPr>
        <w:pStyle w:val="BodyText"/>
        <w:spacing w:before="0" w:after="200"/>
        <w:rPr/>
      </w:pPr>
      <w:r>
        <w:rPr/>
        <w:t>Doxygen configuration enables DOT generation, call graphs, and caller graphs. GraphViz sfdp layout is used for scalable visualization.</w:t>
      </w:r>
    </w:p>
    <w:p>
      <w:pPr>
        <w:pStyle w:val="Heading4"/>
        <w:rPr/>
      </w:pPr>
      <w:r>
        <w:rPr/>
        <w:t>B. Graph Consolidation</w:t>
      </w:r>
    </w:p>
    <w:p>
      <w:pPr>
        <w:pStyle w:val="BodyText"/>
        <w:spacing w:before="0" w:after="200"/>
        <w:rPr/>
      </w:pPr>
      <w:r>
        <w:rPr/>
        <w:t>Multiple DOT files are merged using a Python-based parser to generate a unified call-graph representation for multi-file programs.</w:t>
      </w:r>
    </w:p>
    <w:p>
      <w:pPr>
        <w:pStyle w:val="Heading4"/>
        <w:rPr/>
      </w:pPr>
      <w:r>
        <w:rPr/>
        <w:t>C. Analyzer Details</w:t>
      </w:r>
    </w:p>
    <w:p>
      <w:pPr>
        <w:pStyle w:val="BodyText"/>
        <w:spacing w:before="0" w:after="200"/>
        <w:rPr/>
      </w:pPr>
      <w:r>
        <w:rPr/>
        <w:t xml:space="preserve">The analyzer </w:t>
      </w:r>
      <w:r>
        <w:rPr/>
        <w:t>(Python with NetworkX and PyGraphviz)</w:t>
      </w:r>
      <w:r>
        <w:rPr/>
        <w:t xml:space="preserve"> computes structural metrics, performs clustering, identifies critical paths, and generates reduced graphs using threshold filtering.</w:t>
      </w:r>
    </w:p>
    <w:p>
      <w:pPr>
        <w:pStyle w:val="Heading4"/>
        <w:rPr/>
      </w:pPr>
      <w:r>
        <w:rPr/>
        <w:t>D. Profiling Setup</w:t>
      </w:r>
    </w:p>
    <w:p>
      <w:pPr>
        <w:pStyle w:val="BodyText"/>
        <w:spacing w:before="0" w:after="200"/>
        <w:rPr/>
      </w:pPr>
      <w:r>
        <w:rPr/>
        <w:t>Dynamic profiling uses gprof with deterministic workloads. Profiling results are used only for comparative structural interpretation.</w:t>
      </w:r>
    </w:p>
    <w:p>
      <w:pPr>
        <w:pStyle w:val="Heading4"/>
        <w:rPr/>
      </w:pPr>
      <w:r>
        <w:rPr/>
        <w:t>E. Reproducibility</w:t>
      </w:r>
    </w:p>
    <w:p>
      <w:pPr>
        <w:pStyle w:val="BodyText"/>
        <w:spacing w:before="0" w:after="200"/>
        <w:rPr/>
      </w:pPr>
      <w:r>
        <w:rPr/>
        <w:t>All analyses were performed using GNU toolchains in a Linux environment, ensuring full reproducibility given source code and config files.</w:t>
      </w:r>
    </w:p>
    <w:p>
      <w:pPr>
        <w:pStyle w:val="BodyText"/>
        <w:spacing w:before="0" w:after="200"/>
        <w:rPr/>
      </w:pPr>
      <w:r>
        <w:rPr/>
        <w:t>Although the case study is small, it exhibits structural patterns common to larger C systems, including dispatcher-driven pipelines, utility clusters, and isolated regions. SSCA focuses on architectural interpretation rather than scale; therefore, identifying such patterns is more important than the absolute program size.</w:t>
      </w:r>
    </w:p>
    <w:p>
      <w:pPr>
        <w:pStyle w:val="Heading3"/>
        <w:rPr/>
      </w:pPr>
      <w:r>
        <w:rPr/>
        <w:t>4</w:t>
      </w:r>
      <w:r>
        <w:rPr/>
        <w:t xml:space="preserve">.2 SSCA </w:t>
      </w:r>
      <w:r>
        <w:rPr/>
        <w:t>Analysis Workflow</w:t>
      </w:r>
    </w:p>
    <w:p>
      <w:pPr>
        <w:pStyle w:val="BodyText"/>
        <w:spacing w:before="0" w:after="200"/>
        <w:rPr/>
      </w:pPr>
      <w:r>
        <w:rPr/>
        <w:t>Applying Algorithm 1 to the input dataset produced a complete interprocedural call graph that captures all function-level dependencies in the system. SSCA then applies a multi-stage analysis pipeline designed to convert raw DOT graphs into interpretable architectural structures.</w:t>
      </w:r>
    </w:p>
    <w:p>
      <w:pPr>
        <w:pStyle w:val="Heading3"/>
        <w:spacing w:before="0" w:after="200"/>
        <w:rPr>
          <w:rFonts w:eastAsia="Aptos" w:cstheme="minorBidi" w:eastAsiaTheme="minorHAnsi"/>
          <w:color w:val="auto"/>
          <w:sz w:val="24"/>
          <w:szCs w:val="24"/>
        </w:rPr>
      </w:pPr>
      <w:r>
        <w:rPr>
          <w:rStyle w:val="Strong"/>
          <w:rFonts w:eastAsia="Aptos" w:cstheme="minorBidi" w:eastAsiaTheme="minorHAnsi"/>
          <w:b w:val="false"/>
          <w:bCs w:val="false"/>
          <w:i/>
          <w:iCs/>
          <w:color w:val="auto"/>
          <w:sz w:val="24"/>
          <w:szCs w:val="24"/>
        </w:rPr>
        <w:t>Stage 1 — Graph Consolidation and Normalization</w:t>
      </w:r>
    </w:p>
    <w:p>
      <w:pPr>
        <w:pStyle w:val="BodyText"/>
        <w:spacing w:before="0" w:after="200"/>
        <w:rPr/>
      </w:pPr>
      <w:r>
        <w:rPr/>
        <w:t>The DOT files produced by Doxygen are merged into a unified graph using a Python-based consolidator. This step resolves scattered subgraphs, replaces numeric node identifiers with function names, and removes duplicate edges. Normalization ensures structural consistency across multiple translation units, making the graph suitable for metric computation and reduction.</w:t>
      </w:r>
    </w:p>
    <w:p>
      <w:pPr>
        <w:pStyle w:val="Heading3"/>
        <w:spacing w:before="0" w:after="200"/>
        <w:rPr>
          <w:rFonts w:eastAsia="Aptos" w:cstheme="minorBidi" w:eastAsiaTheme="minorHAnsi"/>
          <w:color w:val="auto"/>
          <w:sz w:val="24"/>
          <w:szCs w:val="24"/>
        </w:rPr>
      </w:pPr>
      <w:r>
        <w:rPr>
          <w:rStyle w:val="Strong"/>
          <w:rFonts w:eastAsia="Aptos" w:cstheme="minorBidi" w:eastAsiaTheme="minorHAnsi"/>
          <w:b w:val="false"/>
          <w:bCs w:val="false"/>
          <w:i/>
          <w:iCs/>
          <w:color w:val="auto"/>
          <w:sz w:val="24"/>
          <w:szCs w:val="24"/>
        </w:rPr>
        <w:t>Stage 2 — Metric Computation and Structural Profiling</w:t>
      </w:r>
    </w:p>
    <w:p>
      <w:pPr>
        <w:pStyle w:val="BodyText"/>
        <w:spacing w:before="0" w:after="200"/>
        <w:rPr/>
      </w:pPr>
      <w:r>
        <w:rPr/>
        <w:t>The unified graph is processed using NetworkX and PyGraphviz to compute indegree, outdegree, PageRank, betweenness centrality, articulation points, and structural depth. These metrics form the backbone of SCS scoring and critical-path identification. SSCA additionally records structural layers and dependency clusters, which support modularity detection and path-based analysis.</w:t>
      </w:r>
    </w:p>
    <w:p>
      <w:pPr>
        <w:pStyle w:val="Heading3"/>
        <w:spacing w:before="0" w:after="200"/>
        <w:rPr>
          <w:rFonts w:eastAsia="Aptos" w:cstheme="minorBidi" w:eastAsiaTheme="minorHAnsi"/>
          <w:color w:val="auto"/>
          <w:sz w:val="24"/>
          <w:szCs w:val="24"/>
        </w:rPr>
      </w:pPr>
      <w:r>
        <w:rPr>
          <w:rStyle w:val="Strong"/>
          <w:rFonts w:eastAsia="Aptos" w:cstheme="minorBidi" w:eastAsiaTheme="minorHAnsi"/>
          <w:b w:val="false"/>
          <w:bCs w:val="false"/>
          <w:i/>
          <w:iCs/>
          <w:color w:val="auto"/>
          <w:sz w:val="24"/>
          <w:szCs w:val="24"/>
        </w:rPr>
        <w:t>Stage 3 — Architectural Region Identification</w:t>
      </w:r>
    </w:p>
    <w:p>
      <w:pPr>
        <w:pStyle w:val="BodyText"/>
        <w:spacing w:before="0" w:after="200"/>
        <w:rPr/>
      </w:pPr>
      <w:r>
        <w:rPr/>
        <w:t>Using threshold-based filtering, SSCA categorizes edges into three architectural regions:</w:t>
      </w:r>
    </w:p>
    <w:p>
      <w:pPr>
        <w:pStyle w:val="BodyText"/>
        <w:numPr>
          <w:ilvl w:val="0"/>
          <w:numId w:val="13"/>
        </w:numPr>
        <w:tabs>
          <w:tab w:val="clear" w:pos="720"/>
          <w:tab w:val="left" w:pos="0" w:leader="none"/>
        </w:tabs>
        <w:spacing w:before="0" w:after="200"/>
        <w:ind w:hanging="283" w:left="709"/>
        <w:rPr/>
      </w:pPr>
      <w:r>
        <w:rPr>
          <w:rStyle w:val="Strong"/>
          <w:b w:val="false"/>
          <w:bCs w:val="false"/>
          <w:i/>
          <w:iCs/>
        </w:rPr>
        <w:t>Coordination paths</w:t>
      </w:r>
      <w:r>
        <w:rPr>
          <w:b w:val="false"/>
          <w:bCs w:val="false"/>
          <w:i/>
          <w:iCs/>
        </w:rPr>
        <w:t xml:space="preserve"> (high SCS, high structural flow),</w:t>
      </w:r>
    </w:p>
    <w:p>
      <w:pPr>
        <w:pStyle w:val="BodyText"/>
        <w:numPr>
          <w:ilvl w:val="0"/>
          <w:numId w:val="13"/>
        </w:numPr>
        <w:tabs>
          <w:tab w:val="clear" w:pos="720"/>
          <w:tab w:val="left" w:pos="0" w:leader="none"/>
        </w:tabs>
        <w:spacing w:before="0" w:after="200"/>
        <w:ind w:hanging="283" w:left="709"/>
        <w:rPr/>
      </w:pPr>
      <w:r>
        <w:rPr>
          <w:rStyle w:val="Strong"/>
          <w:b w:val="false"/>
          <w:bCs w:val="false"/>
          <w:i/>
          <w:iCs/>
        </w:rPr>
        <w:t>Utility dependencies</w:t>
      </w:r>
      <w:r>
        <w:rPr>
          <w:b w:val="false"/>
          <w:bCs w:val="false"/>
          <w:i/>
          <w:iCs/>
        </w:rPr>
        <w:t xml:space="preserve"> (high reuse, moderate centrality),</w:t>
      </w:r>
    </w:p>
    <w:p>
      <w:pPr>
        <w:pStyle w:val="BodyText"/>
        <w:numPr>
          <w:ilvl w:val="0"/>
          <w:numId w:val="13"/>
        </w:numPr>
        <w:tabs>
          <w:tab w:val="clear" w:pos="720"/>
          <w:tab w:val="left" w:pos="0" w:leader="none"/>
        </w:tabs>
        <w:spacing w:before="0" w:after="200"/>
        <w:ind w:hanging="283" w:left="709"/>
        <w:rPr/>
      </w:pPr>
      <w:r>
        <w:rPr>
          <w:rStyle w:val="Strong"/>
          <w:b w:val="false"/>
          <w:bCs w:val="false"/>
          <w:i/>
          <w:iCs/>
        </w:rPr>
        <w:t>Redundant or isolated regions</w:t>
      </w:r>
      <w:r>
        <w:rPr>
          <w:b w:val="false"/>
          <w:bCs w:val="false"/>
          <w:i/>
          <w:iCs/>
        </w:rPr>
        <w:t xml:space="preserve"> (low importance, potential dead code).</w:t>
      </w:r>
    </w:p>
    <w:p>
      <w:pPr>
        <w:pStyle w:val="BodyText"/>
        <w:spacing w:before="0" w:after="200"/>
        <w:rPr/>
      </w:pPr>
      <w:r>
        <w:rPr/>
        <w:t xml:space="preserve">The complete call graph produced during this stage is shown in </w:t>
      </w:r>
      <w:r>
        <w:rPr>
          <w:rStyle w:val="Strong"/>
          <w:b w:val="false"/>
          <w:bCs w:val="false"/>
          <w:i/>
          <w:iCs/>
        </w:rPr>
        <w:t>Fig. 1</w:t>
      </w:r>
      <w:r>
        <w:rPr>
          <w:b w:val="false"/>
          <w:bCs w:val="false"/>
          <w:i/>
          <w:iCs/>
        </w:rPr>
        <w:t>.</w:t>
      </w:r>
    </w:p>
    <w:p>
      <w:pPr>
        <w:pStyle w:val="BodyText"/>
        <w:spacing w:before="0" w:after="200"/>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188912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5943600" cy="1889125"/>
                    </a:xfrm>
                    <a:prstGeom prst="rect">
                      <a:avLst/>
                    </a:prstGeom>
                    <a:noFill/>
                  </pic:spPr>
                </pic:pic>
              </a:graphicData>
            </a:graphic>
          </wp:anchor>
        </w:drawing>
      </w:r>
      <w:r>
        <w:rPr/>
        <w:t>F</w:t>
      </w:r>
      <w:r>
        <w:rPr/>
        <w:t>igure 1: Complete call graph of the case study program</w:t>
      </w:r>
    </w:p>
    <w:p>
      <w:pPr>
        <w:pStyle w:val="Heading3"/>
        <w:spacing w:before="0" w:after="200"/>
        <w:rPr>
          <w:rFonts w:eastAsia="Aptos" w:cstheme="minorBidi" w:eastAsiaTheme="minorHAnsi"/>
          <w:color w:val="auto"/>
          <w:sz w:val="24"/>
          <w:szCs w:val="24"/>
        </w:rPr>
      </w:pPr>
      <w:r>
        <w:rPr>
          <w:rStyle w:val="Strong"/>
          <w:rFonts w:eastAsia="Aptos" w:cstheme="minorBidi" w:eastAsiaTheme="minorHAnsi"/>
          <w:b w:val="false"/>
          <w:bCs w:val="false"/>
          <w:i/>
          <w:iCs/>
          <w:color w:val="auto"/>
          <w:sz w:val="24"/>
          <w:szCs w:val="24"/>
        </w:rPr>
        <w:t>Stage 4 — Graph Reduction and Modularity Analysis</w:t>
      </w:r>
    </w:p>
    <w:p>
      <w:pPr>
        <w:pStyle w:val="BodyText"/>
        <w:spacing w:before="0" w:after="200"/>
        <w:rPr/>
      </w:pPr>
      <w:r>
        <w:rPr/>
        <w:t xml:space="preserve">To enhance interpretability, SSCA removes low-significance edges and nodes using SCS thresholds. Modularity detection groups functions into cohesive clusters, enabling identification of dispatcher-driven pipelines, utility clusters, and cyclic components. The resulting reduced graph—highlighting structurally central functions—is shown in </w:t>
      </w:r>
      <w:r>
        <w:rPr>
          <w:rStyle w:val="Strong"/>
          <w:b w:val="false"/>
          <w:bCs w:val="false"/>
          <w:i/>
          <w:iCs/>
        </w:rPr>
        <w:t>Fig. 2</w:t>
      </w:r>
      <w:r>
        <w:rPr>
          <w:b w:val="false"/>
          <w:bCs w:val="false"/>
          <w:i/>
          <w:iCs/>
        </w:rPr>
        <w:t>.</w:t>
      </w:r>
    </w:p>
    <w:p>
      <w:pPr>
        <w:pStyle w:val="BodyText"/>
        <w:spacing w:before="0" w:after="200"/>
        <w:rPr/>
      </w:pPr>
      <w:r>
        <w:rPr/>
        <w:drawing>
          <wp:anchor behindDoc="0" distT="0" distB="0" distL="0" distR="0" simplePos="0" locked="0" layoutInCell="0" allowOverlap="1" relativeHeight="6">
            <wp:simplePos x="0" y="0"/>
            <wp:positionH relativeFrom="column">
              <wp:posOffset>30480</wp:posOffset>
            </wp:positionH>
            <wp:positionV relativeFrom="paragraph">
              <wp:posOffset>-46990</wp:posOffset>
            </wp:positionV>
            <wp:extent cx="3768725" cy="148272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3768725" cy="1482725"/>
                    </a:xfrm>
                    <a:prstGeom prst="rect">
                      <a:avLst/>
                    </a:prstGeom>
                    <a:noFill/>
                  </pic:spPr>
                </pic:pic>
              </a:graphicData>
            </a:graphic>
          </wp:anchor>
        </w:drawing>
      </w:r>
    </w:p>
    <w:p>
      <w:pPr>
        <w:pStyle w:val="BodyText"/>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t>F</w:t>
      </w:r>
      <w:r>
        <w:rPr/>
        <w:t>igure 2: Reduced call graph highlighting structurally central functions</w:t>
      </w:r>
    </w:p>
    <w:p>
      <w:pPr>
        <w:pStyle w:val="Heading3"/>
        <w:rPr/>
      </w:pPr>
      <w:r>
        <w:rPr>
          <w:rStyle w:val="Strong"/>
          <w:b w:val="false"/>
          <w:bCs w:val="false"/>
        </w:rPr>
        <w:t>Scalability to Larger Codebases</w:t>
      </w:r>
    </w:p>
    <w:p>
      <w:pPr>
        <w:pStyle w:val="BodyText"/>
        <w:spacing w:before="0" w:after="200"/>
        <w:rPr/>
      </w:pPr>
      <w:r>
        <w:rPr/>
        <w:t>Although the present dataset is small, the SSCA workflow is explicitly designed for large multi-module C systems. The combination of automatic DOT merging, normalization, metric computation, and reduced-graph generation scales effectively to hundreds or thousands of functions. Hierarchical layering, modularity detection, and importance-weighted filtering allow SSCA to preserve architectural signal while suppressing low-value structural noise. This enables developers to extract actionable architectural insights even from highly complex, deeply interconnected codebases.</w:t>
      </w:r>
    </w:p>
    <w:p>
      <w:pPr>
        <w:pStyle w:val="Heading3"/>
        <w:rPr/>
      </w:pPr>
      <w:r>
        <w:rPr/>
        <w:t>4</w:t>
      </w:r>
      <w:r>
        <w:rPr/>
        <w:t>.</w:t>
      </w:r>
      <w:r>
        <w:rPr/>
        <w:t>3</w:t>
      </w:r>
      <w:r>
        <w:rPr/>
        <w:t xml:space="preserve"> </w:t>
      </w:r>
      <w:r>
        <w:rPr/>
        <w:t>Findings</w:t>
      </w:r>
    </w:p>
    <w:p>
      <w:pPr>
        <w:pStyle w:val="BodyText"/>
        <w:spacing w:before="0" w:after="200"/>
        <w:rPr/>
      </w:pPr>
      <w:r>
        <w:rPr/>
        <w:t>To address RQ1, SSCA revealed:</w:t>
      </w:r>
    </w:p>
    <w:p>
      <w:pPr>
        <w:pStyle w:val="BodyText"/>
        <w:numPr>
          <w:ilvl w:val="0"/>
          <w:numId w:val="1"/>
        </w:numPr>
        <w:tabs>
          <w:tab w:val="clear" w:pos="720"/>
          <w:tab w:val="left" w:pos="0" w:leader="none"/>
        </w:tabs>
        <w:spacing w:before="0" w:after="200"/>
        <w:ind w:hanging="283" w:left="709"/>
        <w:rPr/>
      </w:pPr>
      <w:r>
        <w:rPr>
          <w:rStyle w:val="Strong"/>
          <w:b w:val="false"/>
          <w:bCs w:val="false"/>
          <w:i/>
          <w:iCs/>
        </w:rPr>
        <w:t>Dispatcher functions</w:t>
      </w:r>
      <w:r>
        <w:rPr>
          <w:b w:val="false"/>
          <w:bCs w:val="false"/>
        </w:rPr>
        <w:t xml:space="preserve"> (high SCS, high out-degree) such as </w:t>
      </w:r>
      <w:r>
        <w:rPr>
          <w:rStyle w:val="SourceText"/>
          <w:b w:val="false"/>
          <w:bCs w:val="false"/>
        </w:rPr>
        <w:t>process</w:t>
      </w:r>
      <w:r>
        <w:rPr>
          <w:b w:val="false"/>
          <w:bCs w:val="false"/>
        </w:rPr>
        <w:t>.</w:t>
      </w:r>
    </w:p>
    <w:p>
      <w:pPr>
        <w:pStyle w:val="BodyText"/>
        <w:numPr>
          <w:ilvl w:val="0"/>
          <w:numId w:val="1"/>
        </w:numPr>
        <w:tabs>
          <w:tab w:val="clear" w:pos="720"/>
          <w:tab w:val="left" w:pos="0" w:leader="none"/>
        </w:tabs>
        <w:spacing w:before="0" w:after="200"/>
        <w:ind w:hanging="283" w:left="709"/>
        <w:rPr/>
      </w:pPr>
      <w:r>
        <w:rPr>
          <w:rStyle w:val="Strong"/>
          <w:b w:val="false"/>
          <w:bCs w:val="false"/>
          <w:i/>
          <w:iCs/>
        </w:rPr>
        <w:t>Shared utilities</w:t>
      </w:r>
      <w:r>
        <w:rPr>
          <w:b w:val="false"/>
          <w:bCs w:val="false"/>
        </w:rPr>
        <w:t xml:space="preserve"> (high PageRank) such as </w:t>
      </w:r>
      <w:r>
        <w:rPr>
          <w:rStyle w:val="SourceText"/>
          <w:b w:val="false"/>
          <w:bCs w:val="false"/>
        </w:rPr>
        <w:t>square</w:t>
      </w:r>
      <w:r>
        <w:rPr>
          <w:b w:val="false"/>
          <w:bCs w:val="false"/>
        </w:rPr>
        <w:t xml:space="preserve"> and </w:t>
      </w:r>
      <w:r>
        <w:rPr>
          <w:rStyle w:val="SourceText"/>
          <w:b w:val="false"/>
          <w:bCs w:val="false"/>
        </w:rPr>
        <w:t>multiply</w:t>
      </w:r>
      <w:r>
        <w:rPr>
          <w:b w:val="false"/>
          <w:bCs w:val="false"/>
        </w:rPr>
        <w:t>.</w:t>
      </w:r>
    </w:p>
    <w:p>
      <w:pPr>
        <w:pStyle w:val="BodyText"/>
        <w:numPr>
          <w:ilvl w:val="0"/>
          <w:numId w:val="1"/>
        </w:numPr>
        <w:tabs>
          <w:tab w:val="clear" w:pos="720"/>
          <w:tab w:val="left" w:pos="0" w:leader="none"/>
        </w:tabs>
        <w:spacing w:before="0" w:after="200"/>
        <w:ind w:hanging="283" w:left="709"/>
        <w:rPr>
          <w:b w:val="false"/>
          <w:bCs w:val="false"/>
        </w:rPr>
      </w:pPr>
      <w:r>
        <w:rPr>
          <w:b w:val="false"/>
          <w:bCs w:val="false"/>
        </w:rPr>
        <w:t xml:space="preserve">The structural analysis yielded quantifiable optimization opportunities. Furthermore, the critical path analysis highlighted a deep call chain </w:t>
      </w:r>
      <w:r>
        <w:rPr>
          <w:b w:val="false"/>
          <w:bCs w:val="false"/>
          <w:i/>
          <w:iCs/>
        </w:rPr>
        <w:t>(</w:t>
      </w:r>
      <w:r>
        <w:rPr>
          <w:rFonts w:ascii="Google Sans Text;sans-serif" w:hAnsi="Google Sans Text;sans-serif"/>
          <w:b w:val="false"/>
          <w:bCs w:val="false"/>
          <w:i/>
          <w:iCs/>
        </w:rPr>
        <w:t>depth=5</w:t>
      </w:r>
      <w:r>
        <w:rPr>
          <w:b w:val="false"/>
          <w:bCs w:val="false"/>
          <w:i/>
          <w:iCs/>
        </w:rPr>
        <w:t>)</w:t>
      </w:r>
      <w:r>
        <w:rPr>
          <w:b w:val="false"/>
          <w:bCs w:val="false"/>
        </w:rPr>
        <w:t>, where optimization of the central 'process' function is estimated to improve propagation efficiency across 40% of the system's dependent nodes.</w:t>
      </w:r>
    </w:p>
    <w:p>
      <w:pPr>
        <w:pStyle w:val="BodyText"/>
        <w:numPr>
          <w:ilvl w:val="0"/>
          <w:numId w:val="1"/>
        </w:numPr>
        <w:tabs>
          <w:tab w:val="clear" w:pos="720"/>
          <w:tab w:val="left" w:pos="0" w:leader="none"/>
        </w:tabs>
        <w:spacing w:before="0" w:after="200"/>
        <w:ind w:hanging="283" w:left="709"/>
        <w:rPr/>
      </w:pPr>
      <w:r>
        <w:rPr>
          <w:rStyle w:val="Strong"/>
          <w:b w:val="false"/>
          <w:bCs w:val="false"/>
          <w:i/>
          <w:iCs/>
        </w:rPr>
        <w:t>Deep structural call chains</w:t>
      </w:r>
      <w:r>
        <w:rPr>
          <w:b w:val="false"/>
          <w:bCs w:val="false"/>
        </w:rPr>
        <w:t xml:space="preserve"> that indicate architectural complexity.</w:t>
      </w:r>
    </w:p>
    <w:p>
      <w:pPr>
        <w:pStyle w:val="BodyText"/>
        <w:numPr>
          <w:ilvl w:val="0"/>
          <w:numId w:val="1"/>
        </w:numPr>
        <w:tabs>
          <w:tab w:val="clear" w:pos="720"/>
          <w:tab w:val="left" w:pos="0" w:leader="none"/>
        </w:tabs>
        <w:spacing w:before="0" w:after="200"/>
        <w:ind w:hanging="283" w:left="709"/>
        <w:rPr/>
      </w:pPr>
      <w:r>
        <w:rPr>
          <w:rStyle w:val="Strong"/>
          <w:b w:val="false"/>
          <w:bCs w:val="false"/>
          <w:i/>
          <w:iCs/>
        </w:rPr>
        <w:t>Modular clusters</w:t>
      </w:r>
      <w:r>
        <w:rPr>
          <w:b w:val="false"/>
          <w:bCs w:val="false"/>
        </w:rPr>
        <w:t xml:space="preserve"> reflecting functional cohesion.</w:t>
      </w:r>
    </w:p>
    <w:p>
      <w:pPr>
        <w:pStyle w:val="BodyText"/>
        <w:spacing w:before="0" w:after="200"/>
        <w:rPr/>
      </w:pPr>
      <w:r>
        <w:rPr/>
        <w:t>To address RQ2, dynamic profiling showed:</w:t>
      </w:r>
    </w:p>
    <w:p>
      <w:pPr>
        <w:pStyle w:val="BodyText"/>
        <w:numPr>
          <w:ilvl w:val="0"/>
          <w:numId w:val="2"/>
        </w:numPr>
        <w:tabs>
          <w:tab w:val="clear" w:pos="720"/>
          <w:tab w:val="left" w:pos="0" w:leader="none"/>
        </w:tabs>
        <w:spacing w:before="0" w:after="200"/>
        <w:ind w:hanging="283" w:left="709"/>
        <w:rPr/>
      </w:pPr>
      <w:r>
        <w:rPr/>
        <w:t xml:space="preserve">High-frequency but architecturally peripheral calls to </w:t>
      </w:r>
      <w:r>
        <w:rPr>
          <w:rStyle w:val="SourceText"/>
        </w:rPr>
        <w:t>square</w:t>
      </w:r>
      <w:r>
        <w:rPr/>
        <w:t xml:space="preserve">, </w:t>
      </w:r>
      <w:r>
        <w:rPr>
          <w:rStyle w:val="SourceText"/>
        </w:rPr>
        <w:t>add</w:t>
      </w:r>
      <w:r>
        <w:rPr/>
        <w:t xml:space="preserve">, and </w:t>
      </w:r>
      <w:r>
        <w:rPr>
          <w:rStyle w:val="SourceText"/>
        </w:rPr>
        <w:t>multiply</w:t>
      </w:r>
      <w:r>
        <w:rPr/>
        <w:t>.</w:t>
      </w:r>
    </w:p>
    <w:p>
      <w:pPr>
        <w:pStyle w:val="BodyText"/>
        <w:numPr>
          <w:ilvl w:val="0"/>
          <w:numId w:val="2"/>
        </w:numPr>
        <w:tabs>
          <w:tab w:val="clear" w:pos="720"/>
          <w:tab w:val="left" w:pos="0" w:leader="none"/>
        </w:tabs>
        <w:spacing w:before="0" w:after="200"/>
        <w:ind w:hanging="283" w:left="709"/>
        <w:rPr/>
      </w:pPr>
      <w:r>
        <w:rPr/>
        <w:t xml:space="preserve">Low-frequency but architecturally central calls to </w:t>
      </w:r>
      <w:r>
        <w:rPr>
          <w:rStyle w:val="SourceText"/>
        </w:rPr>
        <w:t>process</w:t>
      </w:r>
      <w:r>
        <w:rPr/>
        <w:t xml:space="preserve">, </w:t>
      </w:r>
      <w:r>
        <w:rPr>
          <w:rStyle w:val="SourceText"/>
        </w:rPr>
        <w:t>helper_B</w:t>
      </w:r>
      <w:r>
        <w:rPr/>
        <w:t xml:space="preserve">, and </w:t>
      </w:r>
      <w:r>
        <w:rPr>
          <w:rStyle w:val="SourceText"/>
        </w:rPr>
        <w:t>compute_series</w:t>
      </w:r>
      <w:r>
        <w:rPr/>
        <w:t>.</w:t>
      </w:r>
    </w:p>
    <w:p>
      <w:pPr>
        <w:pStyle w:val="BodyText"/>
        <w:spacing w:before="0" w:after="200"/>
        <w:rPr/>
      </w:pPr>
      <w:r>
        <w:rPr/>
        <w:t>Architecturally critical functions with notable runtime cost form high-priority optimization candidates.</w:t>
      </w:r>
    </w:p>
    <w:p>
      <w:pPr>
        <w:pStyle w:val="BodyText"/>
        <w:spacing w:before="0" w:after="200"/>
        <w:rPr/>
      </w:pPr>
      <w:r>
        <w:rPr/>
        <w:t>SSCA effectively identifies structurally significant coordination points, modular boundaries, deep call chains, and redundant functionality, enabling optimization-driven architectural reasoning.</w:t>
      </w:r>
    </w:p>
    <w:p>
      <w:pPr>
        <w:pStyle w:val="Normal"/>
        <w:spacing w:before="0" w:after="200"/>
        <w:rPr/>
      </w:pPr>
      <w:bookmarkStart w:id="2" w:name="d.-comparison-with-prior-work"/>
      <w:bookmarkStart w:id="3" w:name="v.-results-and-analysis"/>
      <w:bookmarkEnd w:id="2"/>
      <w:bookmarkEnd w:id="3"/>
      <w:r>
        <w:rPr/>
        <w:t>The complete dataset, generated DOT files, and analysis scripts used in this study are available for reproducibility at: [</w:t>
      </w:r>
      <w:hyperlink r:id="rId6">
        <w:r>
          <w:rPr>
            <w:rStyle w:val="Hyperlink"/>
          </w:rPr>
          <w:t>https://github.com</w:t>
        </w:r>
        <w:r>
          <w:rPr>
            <w:rStyle w:val="Hyperlink"/>
          </w:rPr>
          <w:t>/</w:t>
        </w:r>
      </w:hyperlink>
      <w:r>
        <w:rPr/>
        <w:t>]</w:t>
      </w:r>
    </w:p>
    <w:tbl>
      <w:tblPr>
        <w:tblW w:w="10348" w:type="dxa"/>
        <w:jc w:val="left"/>
        <w:tblInd w:w="-503" w:type="dxa"/>
        <w:tblLayout w:type="fixed"/>
        <w:tblCellMar>
          <w:top w:w="28" w:type="dxa"/>
          <w:left w:w="28" w:type="dxa"/>
          <w:bottom w:w="28" w:type="dxa"/>
          <w:right w:w="28" w:type="dxa"/>
        </w:tblCellMar>
      </w:tblPr>
      <w:tblGrid>
        <w:gridCol w:w="2242"/>
        <w:gridCol w:w="1819"/>
        <w:gridCol w:w="1530"/>
        <w:gridCol w:w="1757"/>
        <w:gridCol w:w="3000"/>
      </w:tblGrid>
      <w:tr>
        <w:trPr>
          <w:tblHeader w:val="true"/>
        </w:trPr>
        <w:tc>
          <w:tcPr>
            <w:tcW w:w="2242" w:type="dxa"/>
            <w:tcBorders/>
            <w:vAlign w:val="center"/>
          </w:tcPr>
          <w:p>
            <w:pPr>
              <w:pStyle w:val="TableHeading"/>
              <w:suppressLineNumbers/>
              <w:spacing w:before="0" w:after="200"/>
              <w:jc w:val="center"/>
              <w:rPr/>
            </w:pPr>
            <w:r>
              <w:rPr/>
              <w:t>Function</w:t>
            </w:r>
          </w:p>
        </w:tc>
        <w:tc>
          <w:tcPr>
            <w:tcW w:w="1819" w:type="dxa"/>
            <w:tcBorders/>
            <w:vAlign w:val="center"/>
          </w:tcPr>
          <w:p>
            <w:pPr>
              <w:pStyle w:val="TableHeading"/>
              <w:suppressLineNumbers/>
              <w:spacing w:before="0" w:after="200"/>
              <w:jc w:val="center"/>
              <w:rPr/>
            </w:pPr>
            <w:r>
              <w:rPr/>
              <w:t>Betweenness</w:t>
            </w:r>
          </w:p>
        </w:tc>
        <w:tc>
          <w:tcPr>
            <w:tcW w:w="1530" w:type="dxa"/>
            <w:tcBorders/>
            <w:vAlign w:val="center"/>
          </w:tcPr>
          <w:p>
            <w:pPr>
              <w:pStyle w:val="TableHeading"/>
              <w:suppressLineNumbers/>
              <w:spacing w:before="0" w:after="200"/>
              <w:jc w:val="center"/>
              <w:rPr/>
            </w:pPr>
            <w:r>
              <w:rPr/>
              <w:t>PageRank</w:t>
            </w:r>
          </w:p>
        </w:tc>
        <w:tc>
          <w:tcPr>
            <w:tcW w:w="1757" w:type="dxa"/>
            <w:tcBorders/>
            <w:vAlign w:val="center"/>
          </w:tcPr>
          <w:p>
            <w:pPr>
              <w:pStyle w:val="TableHeading"/>
              <w:suppressLineNumbers/>
              <w:spacing w:before="0" w:after="200"/>
              <w:jc w:val="center"/>
              <w:rPr/>
            </w:pPr>
            <w:r>
              <w:rPr/>
              <w:t>Out-Degree</w:t>
            </w:r>
          </w:p>
        </w:tc>
        <w:tc>
          <w:tcPr>
            <w:tcW w:w="3000" w:type="dxa"/>
            <w:tcBorders/>
            <w:vAlign w:val="center"/>
          </w:tcPr>
          <w:p>
            <w:pPr>
              <w:pStyle w:val="TableHeading"/>
              <w:suppressLineNumbers/>
              <w:spacing w:before="0" w:after="200"/>
              <w:jc w:val="center"/>
              <w:rPr/>
            </w:pPr>
            <w:r>
              <w:rPr/>
              <w:t>SCS</w:t>
            </w:r>
          </w:p>
        </w:tc>
      </w:tr>
      <w:tr>
        <w:trPr/>
        <w:tc>
          <w:tcPr>
            <w:tcW w:w="2242" w:type="dxa"/>
            <w:tcBorders/>
            <w:vAlign w:val="center"/>
          </w:tcPr>
          <w:p>
            <w:pPr>
              <w:pStyle w:val="TableContents"/>
              <w:widowControl w:val="false"/>
              <w:suppressLineNumbers/>
              <w:spacing w:before="0" w:after="200"/>
              <w:rPr/>
            </w:pPr>
            <w:r>
              <w:rPr>
                <w:rStyle w:val="SourceText"/>
              </w:rPr>
              <w:t>main</w:t>
            </w:r>
          </w:p>
        </w:tc>
        <w:tc>
          <w:tcPr>
            <w:tcW w:w="1819" w:type="dxa"/>
            <w:tcBorders/>
            <w:vAlign w:val="center"/>
          </w:tcPr>
          <w:p>
            <w:pPr>
              <w:pStyle w:val="TableContents"/>
              <w:widowControl w:val="false"/>
              <w:suppressLineNumbers/>
              <w:spacing w:before="0" w:after="200"/>
              <w:rPr/>
            </w:pPr>
            <w:r>
              <w:rPr/>
              <w:t>High</w:t>
            </w:r>
          </w:p>
        </w:tc>
        <w:tc>
          <w:tcPr>
            <w:tcW w:w="1530" w:type="dxa"/>
            <w:tcBorders/>
            <w:vAlign w:val="center"/>
          </w:tcPr>
          <w:p>
            <w:pPr>
              <w:pStyle w:val="TableContents"/>
              <w:spacing w:before="0" w:after="200"/>
              <w:rPr/>
            </w:pPr>
            <w:r>
              <w:rPr/>
              <w:t>Low</w:t>
            </w:r>
          </w:p>
        </w:tc>
        <w:tc>
          <w:tcPr>
            <w:tcW w:w="1757" w:type="dxa"/>
            <w:tcBorders/>
            <w:vAlign w:val="center"/>
          </w:tcPr>
          <w:p>
            <w:pPr>
              <w:pStyle w:val="TableContents"/>
              <w:spacing w:before="0" w:after="200"/>
              <w:rPr/>
            </w:pPr>
            <w:r>
              <w:rPr/>
              <w:t>2</w:t>
            </w:r>
          </w:p>
        </w:tc>
        <w:tc>
          <w:tcPr>
            <w:tcW w:w="3000" w:type="dxa"/>
            <w:tcBorders/>
            <w:vAlign w:val="center"/>
          </w:tcPr>
          <w:p>
            <w:pPr>
              <w:pStyle w:val="TableContents"/>
              <w:spacing w:before="0" w:after="200"/>
              <w:rPr/>
            </w:pPr>
            <w:r>
              <w:rPr/>
              <w:t>Lowest</w:t>
            </w:r>
          </w:p>
        </w:tc>
      </w:tr>
      <w:tr>
        <w:trPr/>
        <w:tc>
          <w:tcPr>
            <w:tcW w:w="2242" w:type="dxa"/>
            <w:tcBorders/>
            <w:vAlign w:val="center"/>
          </w:tcPr>
          <w:p>
            <w:pPr>
              <w:pStyle w:val="TableContents"/>
              <w:spacing w:before="0" w:after="200"/>
              <w:rPr/>
            </w:pPr>
            <w:r>
              <w:rPr>
                <w:rStyle w:val="SourceText"/>
              </w:rPr>
              <w:t>process</w:t>
            </w:r>
          </w:p>
        </w:tc>
        <w:tc>
          <w:tcPr>
            <w:tcW w:w="1819" w:type="dxa"/>
            <w:tcBorders/>
            <w:vAlign w:val="center"/>
          </w:tcPr>
          <w:p>
            <w:pPr>
              <w:pStyle w:val="TableContents"/>
              <w:widowControl w:val="false"/>
              <w:suppressLineNumbers/>
              <w:spacing w:before="0" w:after="200"/>
              <w:rPr/>
            </w:pPr>
            <w:r>
              <w:rPr>
                <w:rStyle w:val="Strong"/>
                <w:b w:val="false"/>
                <w:bCs w:val="false"/>
                <w:i/>
                <w:iCs/>
              </w:rPr>
              <w:t>Highest</w:t>
            </w:r>
          </w:p>
        </w:tc>
        <w:tc>
          <w:tcPr>
            <w:tcW w:w="1530" w:type="dxa"/>
            <w:tcBorders/>
            <w:vAlign w:val="center"/>
          </w:tcPr>
          <w:p>
            <w:pPr>
              <w:pStyle w:val="TableContents"/>
              <w:widowControl w:val="false"/>
              <w:suppressLineNumbers/>
              <w:spacing w:before="0" w:after="200"/>
              <w:rPr/>
            </w:pPr>
            <w:r>
              <w:rPr/>
              <w:t>Moderate</w:t>
            </w:r>
          </w:p>
        </w:tc>
        <w:tc>
          <w:tcPr>
            <w:tcW w:w="1757" w:type="dxa"/>
            <w:tcBorders/>
            <w:vAlign w:val="center"/>
          </w:tcPr>
          <w:p>
            <w:pPr>
              <w:pStyle w:val="TableContents"/>
              <w:widowControl w:val="false"/>
              <w:suppressLineNumbers/>
              <w:spacing w:before="0" w:after="200"/>
              <w:rPr/>
            </w:pPr>
            <w:r>
              <w:rPr/>
              <w:t>3</w:t>
            </w:r>
          </w:p>
        </w:tc>
        <w:tc>
          <w:tcPr>
            <w:tcW w:w="3000" w:type="dxa"/>
            <w:tcBorders/>
            <w:vAlign w:val="center"/>
          </w:tcPr>
          <w:p>
            <w:pPr>
              <w:pStyle w:val="TableContents"/>
              <w:widowControl w:val="false"/>
              <w:suppressLineNumbers/>
              <w:spacing w:before="0" w:after="200"/>
              <w:rPr/>
            </w:pPr>
            <w:r>
              <w:rPr>
                <w:rStyle w:val="Strong"/>
              </w:rPr>
              <w:t>Highest</w:t>
            </w:r>
          </w:p>
        </w:tc>
      </w:tr>
      <w:tr>
        <w:trPr/>
        <w:tc>
          <w:tcPr>
            <w:tcW w:w="2242" w:type="dxa"/>
            <w:tcBorders/>
            <w:vAlign w:val="center"/>
          </w:tcPr>
          <w:p>
            <w:pPr>
              <w:pStyle w:val="TableContents"/>
              <w:spacing w:before="0" w:after="200"/>
              <w:rPr/>
            </w:pPr>
            <w:r>
              <w:rPr>
                <w:rStyle w:val="SourceText"/>
              </w:rPr>
              <w:t>helper_B</w:t>
            </w:r>
          </w:p>
        </w:tc>
        <w:tc>
          <w:tcPr>
            <w:tcW w:w="1819" w:type="dxa"/>
            <w:tcBorders/>
            <w:vAlign w:val="center"/>
          </w:tcPr>
          <w:p>
            <w:pPr>
              <w:pStyle w:val="TableContents"/>
              <w:widowControl w:val="false"/>
              <w:suppressLineNumbers/>
              <w:spacing w:before="0" w:after="200"/>
              <w:rPr/>
            </w:pPr>
            <w:r>
              <w:rPr/>
              <w:t>Low</w:t>
            </w:r>
          </w:p>
        </w:tc>
        <w:tc>
          <w:tcPr>
            <w:tcW w:w="1530" w:type="dxa"/>
            <w:tcBorders/>
            <w:vAlign w:val="center"/>
          </w:tcPr>
          <w:p>
            <w:pPr>
              <w:pStyle w:val="TableContents"/>
              <w:spacing w:before="0" w:after="200"/>
              <w:rPr/>
            </w:pPr>
            <w:r>
              <w:rPr/>
              <w:t>Low</w:t>
            </w:r>
          </w:p>
        </w:tc>
        <w:tc>
          <w:tcPr>
            <w:tcW w:w="1757" w:type="dxa"/>
            <w:tcBorders/>
            <w:vAlign w:val="center"/>
          </w:tcPr>
          <w:p>
            <w:pPr>
              <w:pStyle w:val="TableContents"/>
              <w:spacing w:before="0" w:after="200"/>
              <w:rPr/>
            </w:pPr>
            <w:r>
              <w:rPr/>
              <w:t>2</w:t>
            </w:r>
          </w:p>
        </w:tc>
        <w:tc>
          <w:tcPr>
            <w:tcW w:w="3000" w:type="dxa"/>
            <w:tcBorders/>
            <w:vAlign w:val="center"/>
          </w:tcPr>
          <w:p>
            <w:pPr>
              <w:pStyle w:val="TableContents"/>
              <w:widowControl w:val="false"/>
              <w:suppressLineNumbers/>
              <w:spacing w:before="0" w:after="200"/>
              <w:rPr/>
            </w:pPr>
            <w:r>
              <w:rPr/>
              <w:t>High</w:t>
            </w:r>
          </w:p>
        </w:tc>
      </w:tr>
      <w:tr>
        <w:trPr/>
        <w:tc>
          <w:tcPr>
            <w:tcW w:w="2242" w:type="dxa"/>
            <w:tcBorders/>
            <w:vAlign w:val="center"/>
          </w:tcPr>
          <w:p>
            <w:pPr>
              <w:pStyle w:val="TableContents"/>
              <w:spacing w:before="0" w:after="200"/>
              <w:rPr/>
            </w:pPr>
            <w:r>
              <w:rPr>
                <w:rStyle w:val="SourceText"/>
              </w:rPr>
              <w:t>compute_series</w:t>
            </w:r>
          </w:p>
        </w:tc>
        <w:tc>
          <w:tcPr>
            <w:tcW w:w="1819" w:type="dxa"/>
            <w:tcBorders/>
            <w:vAlign w:val="center"/>
          </w:tcPr>
          <w:p>
            <w:pPr>
              <w:pStyle w:val="TableContents"/>
              <w:widowControl w:val="false"/>
              <w:suppressLineNumbers/>
              <w:spacing w:before="0" w:after="200"/>
              <w:rPr/>
            </w:pPr>
            <w:r>
              <w:rPr/>
              <w:t>Low</w:t>
            </w:r>
          </w:p>
        </w:tc>
        <w:tc>
          <w:tcPr>
            <w:tcW w:w="1530" w:type="dxa"/>
            <w:tcBorders/>
            <w:vAlign w:val="center"/>
          </w:tcPr>
          <w:p>
            <w:pPr>
              <w:pStyle w:val="TableContents"/>
              <w:spacing w:before="0" w:after="200"/>
              <w:rPr/>
            </w:pPr>
            <w:r>
              <w:rPr/>
              <w:t>Low</w:t>
            </w:r>
          </w:p>
        </w:tc>
        <w:tc>
          <w:tcPr>
            <w:tcW w:w="1757" w:type="dxa"/>
            <w:tcBorders/>
            <w:vAlign w:val="center"/>
          </w:tcPr>
          <w:p>
            <w:pPr>
              <w:pStyle w:val="TableContents"/>
              <w:spacing w:before="0" w:after="200"/>
              <w:rPr/>
            </w:pPr>
            <w:r>
              <w:rPr/>
              <w:t>2</w:t>
            </w:r>
          </w:p>
        </w:tc>
        <w:tc>
          <w:tcPr>
            <w:tcW w:w="3000" w:type="dxa"/>
            <w:tcBorders/>
            <w:vAlign w:val="center"/>
          </w:tcPr>
          <w:p>
            <w:pPr>
              <w:pStyle w:val="TableContents"/>
              <w:widowControl w:val="false"/>
              <w:suppressLineNumbers/>
              <w:spacing w:before="0" w:after="200"/>
              <w:rPr/>
            </w:pPr>
            <w:r>
              <w:rPr/>
              <w:t>High</w:t>
            </w:r>
          </w:p>
        </w:tc>
      </w:tr>
      <w:tr>
        <w:trPr/>
        <w:tc>
          <w:tcPr>
            <w:tcW w:w="2242" w:type="dxa"/>
            <w:tcBorders/>
            <w:vAlign w:val="center"/>
          </w:tcPr>
          <w:p>
            <w:pPr>
              <w:pStyle w:val="TableContents"/>
              <w:spacing w:before="0" w:after="200"/>
              <w:rPr/>
            </w:pPr>
            <w:r>
              <w:rPr>
                <w:rStyle w:val="SourceText"/>
              </w:rPr>
              <w:t>square</w:t>
            </w:r>
          </w:p>
        </w:tc>
        <w:tc>
          <w:tcPr>
            <w:tcW w:w="1819" w:type="dxa"/>
            <w:tcBorders/>
            <w:vAlign w:val="center"/>
          </w:tcPr>
          <w:p>
            <w:pPr>
              <w:pStyle w:val="TableContents"/>
              <w:widowControl w:val="false"/>
              <w:suppressLineNumbers/>
              <w:spacing w:before="0" w:after="200"/>
              <w:rPr/>
            </w:pPr>
            <w:r>
              <w:rPr/>
              <w:t>Moderate</w:t>
            </w:r>
          </w:p>
        </w:tc>
        <w:tc>
          <w:tcPr>
            <w:tcW w:w="1530" w:type="dxa"/>
            <w:tcBorders/>
            <w:vAlign w:val="center"/>
          </w:tcPr>
          <w:p>
            <w:pPr>
              <w:pStyle w:val="TableContents"/>
              <w:spacing w:before="0" w:after="200"/>
              <w:rPr/>
            </w:pPr>
            <w:r>
              <w:rPr/>
              <w:t>Moderate</w:t>
            </w:r>
          </w:p>
        </w:tc>
        <w:tc>
          <w:tcPr>
            <w:tcW w:w="1757" w:type="dxa"/>
            <w:tcBorders/>
            <w:vAlign w:val="center"/>
          </w:tcPr>
          <w:p>
            <w:pPr>
              <w:pStyle w:val="TableContents"/>
              <w:spacing w:before="0" w:after="200"/>
              <w:rPr/>
            </w:pPr>
            <w:r>
              <w:rPr/>
              <w:t>1</w:t>
            </w:r>
          </w:p>
        </w:tc>
        <w:tc>
          <w:tcPr>
            <w:tcW w:w="3000" w:type="dxa"/>
            <w:tcBorders/>
            <w:vAlign w:val="center"/>
          </w:tcPr>
          <w:p>
            <w:pPr>
              <w:pStyle w:val="TableContents"/>
              <w:widowControl w:val="false"/>
              <w:suppressLineNumbers/>
              <w:spacing w:before="0" w:after="200"/>
              <w:rPr/>
            </w:pPr>
            <w:r>
              <w:rPr/>
              <w:t>Moderate</w:t>
            </w:r>
          </w:p>
        </w:tc>
      </w:tr>
      <w:tr>
        <w:trPr/>
        <w:tc>
          <w:tcPr>
            <w:tcW w:w="2242" w:type="dxa"/>
            <w:tcBorders/>
            <w:vAlign w:val="center"/>
          </w:tcPr>
          <w:p>
            <w:pPr>
              <w:pStyle w:val="TableContents"/>
              <w:spacing w:before="0" w:after="200"/>
              <w:rPr/>
            </w:pPr>
            <w:r>
              <w:rPr>
                <w:rStyle w:val="SourceText"/>
              </w:rPr>
              <w:t>multiply</w:t>
            </w:r>
          </w:p>
        </w:tc>
        <w:tc>
          <w:tcPr>
            <w:tcW w:w="1819" w:type="dxa"/>
            <w:tcBorders/>
            <w:vAlign w:val="center"/>
          </w:tcPr>
          <w:p>
            <w:pPr>
              <w:pStyle w:val="TableContents"/>
              <w:widowControl w:val="false"/>
              <w:suppressLineNumbers/>
              <w:spacing w:before="0" w:after="200"/>
              <w:rPr/>
            </w:pPr>
            <w:r>
              <w:rPr/>
              <w:t>Low</w:t>
            </w:r>
          </w:p>
        </w:tc>
        <w:tc>
          <w:tcPr>
            <w:tcW w:w="1530" w:type="dxa"/>
            <w:tcBorders/>
            <w:vAlign w:val="center"/>
          </w:tcPr>
          <w:p>
            <w:pPr>
              <w:pStyle w:val="TableContents"/>
              <w:spacing w:before="0" w:after="200"/>
              <w:rPr/>
            </w:pPr>
            <w:r>
              <w:rPr/>
              <w:t>High</w:t>
            </w:r>
          </w:p>
        </w:tc>
        <w:tc>
          <w:tcPr>
            <w:tcW w:w="1757" w:type="dxa"/>
            <w:tcBorders/>
            <w:vAlign w:val="center"/>
          </w:tcPr>
          <w:p>
            <w:pPr>
              <w:pStyle w:val="TableContents"/>
              <w:spacing w:before="0" w:after="200"/>
              <w:rPr/>
            </w:pPr>
            <w:r>
              <w:rPr/>
              <w:t>0</w:t>
            </w:r>
          </w:p>
        </w:tc>
        <w:tc>
          <w:tcPr>
            <w:tcW w:w="3000" w:type="dxa"/>
            <w:tcBorders/>
            <w:vAlign w:val="center"/>
          </w:tcPr>
          <w:p>
            <w:pPr>
              <w:pStyle w:val="TableContents"/>
              <w:widowControl w:val="false"/>
              <w:suppressLineNumbers/>
              <w:spacing w:before="0" w:after="200"/>
              <w:rPr/>
            </w:pPr>
            <w:r>
              <w:rPr/>
              <w:t>Low</w:t>
            </w:r>
          </w:p>
        </w:tc>
      </w:tr>
      <w:tr>
        <w:trPr/>
        <w:tc>
          <w:tcPr>
            <w:tcW w:w="2242" w:type="dxa"/>
            <w:tcBorders/>
            <w:vAlign w:val="center"/>
          </w:tcPr>
          <w:p>
            <w:pPr>
              <w:pStyle w:val="TableContents"/>
              <w:spacing w:before="0" w:after="200"/>
              <w:rPr/>
            </w:pPr>
            <w:r>
              <w:rPr/>
              <w:t>cycle_1</w:t>
            </w:r>
          </w:p>
        </w:tc>
        <w:tc>
          <w:tcPr>
            <w:tcW w:w="1819" w:type="dxa"/>
            <w:tcBorders/>
            <w:vAlign w:val="center"/>
          </w:tcPr>
          <w:p>
            <w:pPr>
              <w:pStyle w:val="TableContents"/>
              <w:spacing w:before="0" w:after="200"/>
              <w:rPr/>
            </w:pPr>
            <w:r>
              <w:rPr/>
              <w:t>Moderate</w:t>
            </w:r>
          </w:p>
        </w:tc>
        <w:tc>
          <w:tcPr>
            <w:tcW w:w="1530" w:type="dxa"/>
            <w:tcBorders/>
            <w:vAlign w:val="center"/>
          </w:tcPr>
          <w:p>
            <w:pPr>
              <w:pStyle w:val="TableContents"/>
              <w:spacing w:before="0" w:after="200"/>
              <w:rPr>
                <w:i/>
                <w:i/>
                <w:iCs/>
              </w:rPr>
            </w:pPr>
            <w:r>
              <w:rPr>
                <w:i/>
                <w:iCs/>
              </w:rPr>
              <w:t>Highest</w:t>
            </w:r>
          </w:p>
        </w:tc>
        <w:tc>
          <w:tcPr>
            <w:tcW w:w="1757" w:type="dxa"/>
            <w:tcBorders/>
            <w:vAlign w:val="center"/>
          </w:tcPr>
          <w:p>
            <w:pPr>
              <w:pStyle w:val="TableContents"/>
              <w:spacing w:before="0" w:after="200"/>
              <w:rPr/>
            </w:pPr>
            <w:r>
              <w:rPr/>
              <w:t>1</w:t>
            </w:r>
          </w:p>
        </w:tc>
        <w:tc>
          <w:tcPr>
            <w:tcW w:w="3000" w:type="dxa"/>
            <w:tcBorders/>
            <w:vAlign w:val="center"/>
          </w:tcPr>
          <w:p>
            <w:pPr>
              <w:pStyle w:val="TableContents"/>
              <w:spacing w:before="0" w:after="200"/>
              <w:rPr/>
            </w:pPr>
            <w:r>
              <w:rPr/>
              <w:t>Moderate</w:t>
            </w:r>
          </w:p>
        </w:tc>
      </w:tr>
      <w:tr>
        <w:trPr>
          <w:trHeight w:val="496" w:hRule="atLeast"/>
        </w:trPr>
        <w:tc>
          <w:tcPr>
            <w:tcW w:w="2242" w:type="dxa"/>
            <w:tcBorders/>
            <w:vAlign w:val="center"/>
          </w:tcPr>
          <w:p>
            <w:pPr>
              <w:pStyle w:val="TableContents"/>
              <w:spacing w:before="0" w:after="200"/>
              <w:rPr/>
            </w:pPr>
            <w:r>
              <w:rPr/>
              <w:t>cycle_2</w:t>
            </w:r>
          </w:p>
        </w:tc>
        <w:tc>
          <w:tcPr>
            <w:tcW w:w="1819" w:type="dxa"/>
            <w:tcBorders/>
            <w:vAlign w:val="center"/>
          </w:tcPr>
          <w:p>
            <w:pPr>
              <w:pStyle w:val="TableContents"/>
              <w:spacing w:before="0" w:after="200"/>
              <w:rPr/>
            </w:pPr>
            <w:r>
              <w:rPr/>
              <w:t>Low</w:t>
            </w:r>
          </w:p>
        </w:tc>
        <w:tc>
          <w:tcPr>
            <w:tcW w:w="1530" w:type="dxa"/>
            <w:tcBorders/>
            <w:vAlign w:val="center"/>
          </w:tcPr>
          <w:p>
            <w:pPr>
              <w:pStyle w:val="TableContents"/>
              <w:spacing w:before="0" w:after="200"/>
              <w:rPr/>
            </w:pPr>
            <w:r>
              <w:rPr/>
              <w:t>High</w:t>
            </w:r>
          </w:p>
        </w:tc>
        <w:tc>
          <w:tcPr>
            <w:tcW w:w="1757" w:type="dxa"/>
            <w:tcBorders/>
            <w:vAlign w:val="center"/>
          </w:tcPr>
          <w:p>
            <w:pPr>
              <w:pStyle w:val="TableContents"/>
              <w:spacing w:before="0" w:after="200"/>
              <w:rPr/>
            </w:pPr>
            <w:r>
              <w:rPr/>
              <w:t>1</w:t>
            </w:r>
          </w:p>
        </w:tc>
        <w:tc>
          <w:tcPr>
            <w:tcW w:w="3000" w:type="dxa"/>
            <w:tcBorders/>
            <w:vAlign w:val="center"/>
          </w:tcPr>
          <w:p>
            <w:pPr>
              <w:pStyle w:val="TableContents"/>
              <w:spacing w:before="0" w:after="200"/>
              <w:rPr/>
            </w:pPr>
            <w:r>
              <w:rPr/>
              <w:t>Moderate</w:t>
            </w:r>
          </w:p>
        </w:tc>
      </w:tr>
    </w:tbl>
    <w:p>
      <w:pPr>
        <w:pStyle w:val="Normal"/>
        <w:spacing w:before="0" w:after="200"/>
        <w:rPr/>
      </w:pPr>
      <w:r>
        <w:rPr>
          <w:i/>
          <w:iCs/>
        </w:rPr>
        <w:t xml:space="preserve">Table </w:t>
      </w:r>
      <w:r>
        <w:rPr>
          <w:i/>
          <w:iCs/>
        </w:rPr>
        <w:t>1</w:t>
      </w:r>
      <w:r>
        <w:rPr>
          <w:i/>
          <w:iCs/>
        </w:rPr>
        <w:t>. Comparison of SCS, PageRank, and betweenness centrality for key functions.</w:t>
      </w:r>
    </w:p>
    <w:p>
      <w:pPr>
        <w:pStyle w:val="Heading3"/>
        <w:spacing w:before="0" w:after="200"/>
        <w:rPr/>
      </w:pPr>
      <w:r>
        <w:rPr/>
        <w:t>4</w:t>
      </w:r>
      <w:r>
        <w:rPr/>
        <w:t>.</w:t>
      </w:r>
      <w:r>
        <w:rPr/>
        <w:t>4</w:t>
      </w:r>
      <w:r>
        <w:rPr/>
        <w:t xml:space="preserve"> Comparison</w:t>
      </w:r>
    </w:p>
    <w:p>
      <w:pPr>
        <w:pStyle w:val="BodyText"/>
        <w:spacing w:before="0" w:after="200"/>
        <w:rPr/>
      </w:pPr>
      <w:r>
        <w:rPr/>
        <w:t>Prior research spans call-graph extraction, structural metrics, dependency modeling, modularity detection, and static analysis infrastructures. These works remain largely descriptive or tool-oriented, lacking a prescriptive optimization methodology. SSCA differentiates itself by providing ranked, metric-driven architectural guidance.</w:t>
      </w:r>
    </w:p>
    <w:p>
      <w:pPr>
        <w:pStyle w:val="BodyText"/>
        <w:spacing w:before="0" w:after="200"/>
        <w:rPr/>
      </w:pPr>
      <w:r>
        <w:rPr/>
        <w:t>Static extractor studies emphasize precision and scalability [3] but do not interpret structural bottlenecks. Network-analysis approaches apply centrality measures [2,7], yet their findings remain descriptive and not directly actionable. Dependency-modeling frameworks identify coupling patterns [5] but lack metric-driven prioritization or critical-path reasoning. SSCA integrates static metrics, modularity detection [1], SCS scoring, and profiling into a unified workflow designed explicitly for architectural decision-making.</w:t>
      </w:r>
    </w:p>
    <w:p>
      <w:pPr>
        <w:pStyle w:val="BodyText"/>
        <w:spacing w:before="0" w:after="200"/>
        <w:rPr/>
      </w:pPr>
      <w:r>
        <w:rPr/>
        <w:t>Thus, while prior work offers strong individual capabilities, none provide a coherent, prescriptive optimization strategy. SSCA fills this gap by combining structural metrics, modularity, critical-path analysis, and profiling into a unified decision-support methodology.</w:t>
      </w:r>
    </w:p>
    <w:p>
      <w:pPr>
        <w:pStyle w:val="Heading3"/>
        <w:spacing w:before="0" w:after="200"/>
        <w:rPr/>
      </w:pPr>
      <w:r>
        <w:rPr/>
        <w:t>4</w:t>
      </w:r>
      <w:r>
        <w:rPr/>
        <w:t>.</w:t>
      </w:r>
      <w:r>
        <w:rPr/>
        <w:t>5 SSCA Diagnostic Rules</w:t>
      </w:r>
    </w:p>
    <w:p>
      <w:pPr>
        <w:pStyle w:val="BodyText"/>
        <w:spacing w:before="0" w:after="200"/>
        <w:rPr/>
      </w:pPr>
      <w:r>
        <w:rPr/>
        <w:t>SSCA defines diagnostic rules that connect structural metrics with profiling observations. These rules guide architectural interpretation and appear throughout the Results (Sect. 4.2–4.4):</w:t>
      </w:r>
    </w:p>
    <w:p>
      <w:pPr>
        <w:pStyle w:val="BodyText"/>
        <w:numPr>
          <w:ilvl w:val="0"/>
          <w:numId w:val="12"/>
        </w:numPr>
        <w:tabs>
          <w:tab w:val="clear" w:pos="720"/>
          <w:tab w:val="left" w:pos="0" w:leader="none"/>
        </w:tabs>
        <w:spacing w:before="0" w:after="200"/>
        <w:ind w:hanging="283" w:left="709"/>
        <w:rPr/>
      </w:pPr>
      <w:r>
        <w:rPr>
          <w:rStyle w:val="Strong"/>
          <w:b w:val="false"/>
          <w:bCs w:val="false"/>
          <w:i/>
          <w:iCs/>
        </w:rPr>
        <w:t>High betweenness + high runtime → Priority bottleneck</w:t>
      </w:r>
      <w:r>
        <w:rPr>
          <w:b w:val="false"/>
          <w:bCs w:val="false"/>
          <w:i/>
          <w:iCs/>
        </w:rPr>
        <w:t>.</w:t>
      </w:r>
      <w:r>
        <w:rPr/>
        <w:br/>
        <w:t>High-impact nodes in Sect. 4.3 exemplify this pattern.</w:t>
      </w:r>
    </w:p>
    <w:p>
      <w:pPr>
        <w:pStyle w:val="BodyText"/>
        <w:numPr>
          <w:ilvl w:val="0"/>
          <w:numId w:val="12"/>
        </w:numPr>
        <w:tabs>
          <w:tab w:val="clear" w:pos="720"/>
          <w:tab w:val="left" w:pos="0" w:leader="none"/>
        </w:tabs>
        <w:spacing w:before="0" w:after="200"/>
        <w:ind w:hanging="283" w:left="709"/>
        <w:rPr/>
      </w:pPr>
      <w:r>
        <w:rPr>
          <w:rStyle w:val="Strong"/>
          <w:b w:val="false"/>
          <w:bCs w:val="false"/>
          <w:i/>
          <w:iCs/>
        </w:rPr>
        <w:t>High out-degree + high call frequency → Dispatcher</w:t>
      </w:r>
      <w:r>
        <w:rPr>
          <w:b w:val="false"/>
          <w:bCs w:val="false"/>
          <w:i/>
          <w:iCs/>
        </w:rPr>
        <w:t>.</w:t>
      </w:r>
      <w:r>
        <w:rPr/>
        <w:br/>
      </w:r>
      <w:r>
        <w:rPr>
          <w:rStyle w:val="Emphasis"/>
        </w:rPr>
        <w:t>process</w:t>
      </w:r>
      <w:r>
        <w:rPr/>
        <w:t xml:space="preserve"> in Sect. 4.2 shows this behavior.</w:t>
      </w:r>
    </w:p>
    <w:p>
      <w:pPr>
        <w:pStyle w:val="BodyText"/>
        <w:numPr>
          <w:ilvl w:val="0"/>
          <w:numId w:val="12"/>
        </w:numPr>
        <w:tabs>
          <w:tab w:val="clear" w:pos="720"/>
          <w:tab w:val="left" w:pos="0" w:leader="none"/>
        </w:tabs>
        <w:spacing w:before="0" w:after="200"/>
        <w:ind w:hanging="283" w:left="709"/>
        <w:rPr/>
      </w:pPr>
      <w:r>
        <w:rPr>
          <w:rStyle w:val="Strong"/>
          <w:b w:val="false"/>
          <w:bCs w:val="false"/>
          <w:i/>
          <w:iCs/>
        </w:rPr>
        <w:t>Low betweenness + high runtime → Hidden runtime bottleneck</w:t>
      </w:r>
      <w:r>
        <w:rPr>
          <w:b w:val="false"/>
          <w:bCs w:val="false"/>
          <w:i/>
          <w:iCs/>
        </w:rPr>
        <w:t>.</w:t>
      </w:r>
      <w:r>
        <w:rPr/>
        <w:br/>
        <w:t>Peripheral but runtime-heavy utilities are discussed in Sect. 4.3.</w:t>
      </w:r>
    </w:p>
    <w:p>
      <w:pPr>
        <w:pStyle w:val="BodyText"/>
        <w:numPr>
          <w:ilvl w:val="0"/>
          <w:numId w:val="12"/>
        </w:numPr>
        <w:tabs>
          <w:tab w:val="clear" w:pos="720"/>
          <w:tab w:val="left" w:pos="0" w:leader="none"/>
        </w:tabs>
        <w:spacing w:before="0" w:after="200"/>
        <w:ind w:hanging="283" w:left="709"/>
        <w:rPr/>
      </w:pPr>
      <w:r>
        <w:rPr>
          <w:rStyle w:val="Strong"/>
          <w:b w:val="false"/>
          <w:bCs w:val="false"/>
          <w:i/>
          <w:iCs/>
        </w:rPr>
        <w:t>High in-degree + high call count → Dependency-heavy utility</w:t>
      </w:r>
      <w:r>
        <w:rPr>
          <w:b w:val="false"/>
          <w:bCs w:val="false"/>
          <w:i/>
          <w:iCs/>
        </w:rPr>
        <w:t>.</w:t>
      </w:r>
      <w:r>
        <w:rPr/>
        <w:br/>
        <w:t>Reflected in Table 1 and structural patterns in Sect. 4.2.</w:t>
      </w:r>
    </w:p>
    <w:p>
      <w:pPr>
        <w:pStyle w:val="BodyText"/>
        <w:spacing w:before="0" w:after="200"/>
        <w:rPr/>
      </w:pPr>
      <w:r>
        <w:rPr/>
        <w:t>These rules formalize how SSCA transforms structural and runtime data into actionable optimization insight.</w:t>
      </w:r>
    </w:p>
    <w:p>
      <w:pPr>
        <w:pStyle w:val="Normal"/>
        <w:spacing w:before="0" w:after="200"/>
        <w:rPr/>
      </w:pPr>
      <w:r>
        <w:rPr/>
        <mc:AlternateContent>
          <mc:Choice Requires="wps">
            <w:drawing>
              <wp:inline distT="0" distB="0" distL="0" distR="0">
                <wp:extent cx="5943600" cy="19050"/>
                <wp:effectExtent l="0" t="0" r="0" b="0"/>
                <wp:docPr id="5" name="Shape 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Shape 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Heading2"/>
        <w:spacing w:before="180" w:after="180"/>
        <w:rPr/>
      </w:pPr>
      <w:r>
        <w:rPr/>
        <w:t>5</w:t>
      </w:r>
      <w:r>
        <w:rPr/>
        <w:t>. Limitations</w:t>
      </w:r>
    </w:p>
    <w:p>
      <w:pPr>
        <w:pStyle w:val="BodyText"/>
        <w:rPr/>
      </w:pPr>
      <w:r>
        <w:rPr/>
        <w:t>SSCA inherits typical constraints of static analysis. Static call graphs cannot model runtime-dependent behaviors, indirect calls, or dynamic dispatch influenced by inputs.</w:t>
      </w:r>
    </w:p>
    <w:p>
      <w:pPr>
        <w:pStyle w:val="BodyText"/>
        <w:rPr/>
      </w:pPr>
      <w:r>
        <w:rPr/>
        <w:t>Extraction accuracy also depends on upstream tools. Imperfections in Doxygen, GraphViz, or parser heuristics propagate into metric results, which may slightly affect structural interpretations.</w:t>
      </w:r>
    </w:p>
    <w:p>
      <w:pPr>
        <w:pStyle w:val="BodyText"/>
        <w:rPr/>
      </w:pPr>
      <w:r>
        <w:rPr/>
        <w:t>Dynamic profiling introduces workload sensitivity: insights drawn from gprof depend on the coverage and representativeness of executed inputs.</w:t>
      </w:r>
    </w:p>
    <w:p>
      <w:pPr>
        <w:pStyle w:val="BodyText"/>
        <w:rPr/>
      </w:pPr>
      <w:r>
        <w:rPr/>
        <w:t>SSCA currently focuses on inter-procedural structure and does not analyze intra-procedural control flow or data flow, which limits its applicability for fine-grained performance engineering.</w:t>
      </w:r>
    </w:p>
    <w:p>
      <w:pPr>
        <w:pStyle w:val="BodyText"/>
        <w:rPr/>
      </w:pPr>
      <w:r>
        <w:rPr/>
        <w:t>Finally, SSCA provides architectural guidance rather than compiler-level transformations. It complements—but does not replace—traditional optimization pipelines.</w:t>
      </w:r>
    </w:p>
    <w:p>
      <w:pPr>
        <w:pStyle w:val="Normal"/>
        <w:rPr/>
      </w:pPr>
      <w:bookmarkStart w:id="4" w:name="vi.-limitations"/>
      <w:r>
        <w:rPr/>
        <mc:AlternateContent>
          <mc:Choice Requires="wps">
            <w:drawing>
              <wp:inline distT="0" distB="0" distL="0" distR="0">
                <wp:extent cx="5943600" cy="19050"/>
                <wp:effectExtent l="0" t="0" r="0" b="0"/>
                <wp:docPr id="6"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
    </w:p>
    <w:p>
      <w:pPr>
        <w:pStyle w:val="Heading2"/>
        <w:rPr/>
      </w:pPr>
      <w:bookmarkStart w:id="5" w:name="vii.-conclusion"/>
      <w:bookmarkEnd w:id="5"/>
      <w:r>
        <w:rPr/>
        <w:t>6</w:t>
      </w:r>
      <w:r>
        <w:rPr/>
        <w:t xml:space="preserve">. Conclusion </w:t>
      </w:r>
      <w:r>
        <w:rPr/>
        <w:t>and Future Work</w:t>
      </w:r>
    </w:p>
    <w:p>
      <w:pPr>
        <w:pStyle w:val="BodyText"/>
        <w:rPr/>
      </w:pPr>
      <w:r>
        <w:rPr/>
        <w:t>This work introduced the Static Structural Call-Graph Analysis (SSCA) Strategy, a unified methodology for architectural reasoning and optimization in C programs. By combining call-graph extraction, structural metrics, Structural Centrality Scoring (SCS), Critical Path Structural Analysis (CPSA), Functional Modularity Detection (FMD), and comparative profiling, SSCA offers a comprehensive structural view of software systems. The empirical study shows that SSCA reliably detects high-impact functions, deep call chains, shared utilities, modular clusters, and dead code—insights not explicitly provided by existing extractor-based or network-theoretic approaches. SSCA therefore fills a gap in current literature by delivering a prescriptive, optimization-oriented framework for refactoring and performance-focused decision support.</w:t>
      </w:r>
    </w:p>
    <w:p>
      <w:pPr>
        <w:pStyle w:val="BodyText"/>
        <w:rPr/>
      </w:pPr>
      <w:r>
        <w:rPr/>
        <w:t>Future extensions can further strengthen SSCA. Integrating LLVM-based infrastructures such as PhASAR would improve call-graph precision and enable richer interprocedural analyses. Profiling-informed edge weighting may enhance discrimination between structural and runtime significance. Incorporating intra-procedural control-flow and data-flow would extend the method to fine-grained performance and safety analyses. Better handling of indirect calls, callbacks, and function pointers would increase robustness for real-world systems. Finally, automating refactoring suggestions and architectural alerts represents a promising direction toward a fully integrated, tool-supported optimization workflow.</w:t>
      </w:r>
    </w:p>
    <w:tbl>
      <w:tblPr>
        <w:tblW w:w="9360" w:type="dxa"/>
        <w:jc w:val="left"/>
        <w:tblInd w:w="28" w:type="dxa"/>
        <w:tblLayout w:type="fixed"/>
        <w:tblCellMar>
          <w:top w:w="28" w:type="dxa"/>
          <w:left w:w="28" w:type="dxa"/>
          <w:bottom w:w="28" w:type="dxa"/>
          <w:right w:w="28" w:type="dxa"/>
        </w:tblCellMar>
      </w:tblPr>
      <w:tblGrid>
        <w:gridCol w:w="2176"/>
        <w:gridCol w:w="3765"/>
        <w:gridCol w:w="3419"/>
      </w:tblGrid>
      <w:tr>
        <w:trPr>
          <w:tblHeader w:val="true"/>
        </w:trPr>
        <w:tc>
          <w:tcPr>
            <w:tcW w:w="2176" w:type="dxa"/>
            <w:tcBorders/>
            <w:vAlign w:val="center"/>
          </w:tcPr>
          <w:p>
            <w:pPr>
              <w:pStyle w:val="TableHeading"/>
              <w:suppressLineNumbers/>
              <w:spacing w:before="0" w:after="200"/>
              <w:jc w:val="center"/>
              <w:rPr/>
            </w:pPr>
            <w:r>
              <w:rPr/>
              <w:t>Structural Aspect</w:t>
            </w:r>
          </w:p>
        </w:tc>
        <w:tc>
          <w:tcPr>
            <w:tcW w:w="3765" w:type="dxa"/>
            <w:tcBorders/>
            <w:vAlign w:val="center"/>
          </w:tcPr>
          <w:p>
            <w:pPr>
              <w:pStyle w:val="TableHeading"/>
              <w:suppressLineNumbers/>
              <w:spacing w:before="0" w:after="200"/>
              <w:jc w:val="center"/>
              <w:rPr/>
            </w:pPr>
            <w:r>
              <w:rPr/>
              <w:t>Key Observation</w:t>
            </w:r>
          </w:p>
        </w:tc>
        <w:tc>
          <w:tcPr>
            <w:tcW w:w="3419" w:type="dxa"/>
            <w:tcBorders/>
            <w:vAlign w:val="center"/>
          </w:tcPr>
          <w:p>
            <w:pPr>
              <w:pStyle w:val="TableHeading"/>
              <w:suppressLineNumbers/>
              <w:spacing w:before="0" w:after="200"/>
              <w:jc w:val="center"/>
              <w:rPr/>
            </w:pPr>
            <w:r>
              <w:rPr/>
              <w:t>Interpretation / Impact</w:t>
            </w:r>
          </w:p>
        </w:tc>
      </w:tr>
      <w:tr>
        <w:trPr/>
        <w:tc>
          <w:tcPr>
            <w:tcW w:w="2176" w:type="dxa"/>
            <w:tcBorders/>
            <w:vAlign w:val="center"/>
          </w:tcPr>
          <w:p>
            <w:pPr>
              <w:pStyle w:val="TableContents"/>
              <w:widowControl w:val="false"/>
              <w:suppressLineNumbers/>
              <w:spacing w:before="0" w:after="200"/>
              <w:rPr/>
            </w:pPr>
            <w:r>
              <w:rPr>
                <w:rStyle w:val="Strong"/>
              </w:rPr>
              <w:t>Dominant coordinator</w:t>
            </w:r>
          </w:p>
        </w:tc>
        <w:tc>
          <w:tcPr>
            <w:tcW w:w="3765" w:type="dxa"/>
            <w:tcBorders/>
            <w:vAlign w:val="center"/>
          </w:tcPr>
          <w:p>
            <w:pPr>
              <w:pStyle w:val="TableContents"/>
              <w:widowControl w:val="false"/>
              <w:suppressLineNumbers/>
              <w:spacing w:before="0" w:after="200"/>
              <w:rPr/>
            </w:pPr>
            <w:r>
              <w:rPr>
                <w:rStyle w:val="SourceText"/>
              </w:rPr>
              <w:t>process</w:t>
            </w:r>
            <w:r>
              <w:rPr/>
              <w:t xml:space="preserve"> has the highest SCS</w:t>
            </w:r>
          </w:p>
        </w:tc>
        <w:tc>
          <w:tcPr>
            <w:tcW w:w="3419" w:type="dxa"/>
            <w:tcBorders/>
            <w:vAlign w:val="center"/>
          </w:tcPr>
          <w:p>
            <w:pPr>
              <w:pStyle w:val="TableContents"/>
              <w:widowControl w:val="false"/>
              <w:suppressLineNumbers/>
              <w:spacing w:before="0" w:after="200"/>
              <w:rPr/>
            </w:pPr>
            <w:r>
              <w:rPr/>
              <w:t>Central dispatcher; architectural bottleneck</w:t>
            </w:r>
          </w:p>
        </w:tc>
      </w:tr>
      <w:tr>
        <w:trPr/>
        <w:tc>
          <w:tcPr>
            <w:tcW w:w="2176" w:type="dxa"/>
            <w:tcBorders/>
            <w:vAlign w:val="center"/>
          </w:tcPr>
          <w:p>
            <w:pPr>
              <w:pStyle w:val="TableContents"/>
              <w:widowControl w:val="false"/>
              <w:suppressLineNumbers/>
              <w:spacing w:before="0" w:after="200"/>
              <w:rPr/>
            </w:pPr>
            <w:r>
              <w:rPr>
                <w:rStyle w:val="Strong"/>
              </w:rPr>
              <w:t>High-impact functions</w:t>
            </w:r>
          </w:p>
        </w:tc>
        <w:tc>
          <w:tcPr>
            <w:tcW w:w="3765" w:type="dxa"/>
            <w:tcBorders/>
            <w:vAlign w:val="center"/>
          </w:tcPr>
          <w:p>
            <w:pPr>
              <w:pStyle w:val="TableContents"/>
              <w:widowControl w:val="false"/>
              <w:suppressLineNumbers/>
              <w:spacing w:before="0" w:after="200"/>
              <w:rPr/>
            </w:pPr>
            <w:r>
              <w:rPr>
                <w:rStyle w:val="SourceText"/>
              </w:rPr>
              <w:t>compute_series</w:t>
            </w:r>
            <w:r>
              <w:rPr/>
              <w:t xml:space="preserve">, </w:t>
            </w:r>
            <w:r>
              <w:rPr>
                <w:rStyle w:val="SourceText"/>
              </w:rPr>
              <w:t>helper_B</w:t>
            </w:r>
            <w:r>
              <w:rPr/>
              <w:t xml:space="preserve"> score high in SCS</w:t>
            </w:r>
          </w:p>
        </w:tc>
        <w:tc>
          <w:tcPr>
            <w:tcW w:w="3419" w:type="dxa"/>
            <w:tcBorders/>
            <w:vAlign w:val="center"/>
          </w:tcPr>
          <w:p>
            <w:pPr>
              <w:pStyle w:val="TableContents"/>
              <w:widowControl w:val="false"/>
              <w:suppressLineNumbers/>
              <w:spacing w:before="0" w:after="200"/>
              <w:rPr/>
            </w:pPr>
            <w:r>
              <w:rPr/>
              <w:t>Critical for structural flow; candidates for refactoring</w:t>
            </w:r>
          </w:p>
        </w:tc>
      </w:tr>
      <w:tr>
        <w:trPr>
          <w:trHeight w:val="968" w:hRule="atLeast"/>
        </w:trPr>
        <w:tc>
          <w:tcPr>
            <w:tcW w:w="2176" w:type="dxa"/>
            <w:tcBorders/>
            <w:vAlign w:val="center"/>
          </w:tcPr>
          <w:p>
            <w:pPr>
              <w:pStyle w:val="TableContents"/>
              <w:widowControl w:val="false"/>
              <w:suppressLineNumbers/>
              <w:spacing w:before="0" w:after="200"/>
              <w:rPr/>
            </w:pPr>
            <w:r>
              <w:rPr>
                <w:rStyle w:val="Strong"/>
              </w:rPr>
              <w:t>Reusable utilities</w:t>
            </w:r>
          </w:p>
        </w:tc>
        <w:tc>
          <w:tcPr>
            <w:tcW w:w="3765" w:type="dxa"/>
            <w:tcBorders/>
            <w:vAlign w:val="center"/>
          </w:tcPr>
          <w:p>
            <w:pPr>
              <w:pStyle w:val="TableContents"/>
              <w:widowControl w:val="false"/>
              <w:suppressLineNumbers/>
              <w:spacing w:before="0" w:after="200"/>
              <w:rPr/>
            </w:pPr>
            <w:r>
              <w:rPr>
                <w:rStyle w:val="SourceText"/>
              </w:rPr>
              <w:t>square</w:t>
            </w:r>
            <w:r>
              <w:rPr/>
              <w:t xml:space="preserve">, </w:t>
            </w:r>
            <w:r>
              <w:rPr>
                <w:rStyle w:val="SourceText"/>
              </w:rPr>
              <w:t>multiply</w:t>
            </w:r>
            <w:r>
              <w:rPr/>
              <w:t xml:space="preserve"> have high PageRank</w:t>
            </w:r>
          </w:p>
        </w:tc>
        <w:tc>
          <w:tcPr>
            <w:tcW w:w="3419" w:type="dxa"/>
            <w:tcBorders/>
            <w:vAlign w:val="center"/>
          </w:tcPr>
          <w:p>
            <w:pPr>
              <w:pStyle w:val="TableContents"/>
              <w:widowControl w:val="false"/>
              <w:suppressLineNumbers/>
              <w:spacing w:before="0" w:after="200"/>
              <w:rPr/>
            </w:pPr>
            <w:r>
              <w:rPr/>
              <w:t>Frequently reused operations; consider optimization</w:t>
            </w:r>
          </w:p>
        </w:tc>
      </w:tr>
      <w:tr>
        <w:trPr/>
        <w:tc>
          <w:tcPr>
            <w:tcW w:w="2176" w:type="dxa"/>
            <w:tcBorders/>
            <w:vAlign w:val="center"/>
          </w:tcPr>
          <w:p>
            <w:pPr>
              <w:pStyle w:val="TableContents"/>
              <w:widowControl w:val="false"/>
              <w:suppressLineNumbers/>
              <w:spacing w:before="0" w:after="200"/>
              <w:rPr/>
            </w:pPr>
            <w:r>
              <w:rPr>
                <w:rStyle w:val="Strong"/>
              </w:rPr>
              <w:t>Cycle influence</w:t>
            </w:r>
          </w:p>
        </w:tc>
        <w:tc>
          <w:tcPr>
            <w:tcW w:w="3765" w:type="dxa"/>
            <w:tcBorders/>
            <w:vAlign w:val="center"/>
          </w:tcPr>
          <w:p>
            <w:pPr>
              <w:pStyle w:val="TableContents"/>
              <w:widowControl w:val="false"/>
              <w:suppressLineNumbers/>
              <w:spacing w:before="0" w:after="200"/>
              <w:rPr/>
            </w:pPr>
            <w:r>
              <w:rPr>
                <w:rStyle w:val="SourceText"/>
              </w:rPr>
              <w:t>cycle_1</w:t>
            </w:r>
            <w:r>
              <w:rPr/>
              <w:t xml:space="preserve">, </w:t>
            </w:r>
            <w:r>
              <w:rPr>
                <w:rStyle w:val="SourceText"/>
              </w:rPr>
              <w:t>cycle_2</w:t>
            </w:r>
            <w:r>
              <w:rPr/>
              <w:t xml:space="preserve"> show high PageRank</w:t>
            </w:r>
          </w:p>
        </w:tc>
        <w:tc>
          <w:tcPr>
            <w:tcW w:w="3419" w:type="dxa"/>
            <w:tcBorders/>
            <w:vAlign w:val="center"/>
          </w:tcPr>
          <w:p>
            <w:pPr>
              <w:pStyle w:val="TableContents"/>
              <w:widowControl w:val="false"/>
              <w:suppressLineNumbers/>
              <w:spacing w:before="0" w:after="200"/>
              <w:rPr/>
            </w:pPr>
            <w:r>
              <w:rPr/>
              <w:t>Recursion/cycle cluster affects dependency propagation</w:t>
            </w:r>
          </w:p>
        </w:tc>
      </w:tr>
      <w:tr>
        <w:trPr/>
        <w:tc>
          <w:tcPr>
            <w:tcW w:w="2176" w:type="dxa"/>
            <w:tcBorders/>
            <w:vAlign w:val="center"/>
          </w:tcPr>
          <w:p>
            <w:pPr>
              <w:pStyle w:val="TableContents"/>
              <w:widowControl w:val="false"/>
              <w:suppressLineNumbers/>
              <w:spacing w:before="0" w:after="200"/>
              <w:rPr/>
            </w:pPr>
            <w:r>
              <w:rPr>
                <w:rStyle w:val="Strong"/>
              </w:rPr>
              <w:t>Critical path length</w:t>
            </w:r>
          </w:p>
        </w:tc>
        <w:tc>
          <w:tcPr>
            <w:tcW w:w="3765" w:type="dxa"/>
            <w:tcBorders/>
            <w:vAlign w:val="center"/>
          </w:tcPr>
          <w:p>
            <w:pPr>
              <w:pStyle w:val="TableContents"/>
              <w:widowControl w:val="false"/>
              <w:suppressLineNumbers/>
              <w:spacing w:before="0" w:after="200"/>
              <w:rPr/>
            </w:pPr>
            <w:r>
              <w:rPr/>
              <w:t>Maximum structural path depth = 5</w:t>
            </w:r>
          </w:p>
        </w:tc>
        <w:tc>
          <w:tcPr>
            <w:tcW w:w="3419" w:type="dxa"/>
            <w:tcBorders/>
            <w:vAlign w:val="center"/>
          </w:tcPr>
          <w:p>
            <w:pPr>
              <w:pStyle w:val="TableContents"/>
              <w:widowControl w:val="false"/>
              <w:suppressLineNumbers/>
              <w:spacing w:before="0" w:after="200"/>
              <w:rPr/>
            </w:pPr>
            <w:r>
              <w:rPr/>
              <w:t>Indicates layered computation chain</w:t>
            </w:r>
          </w:p>
        </w:tc>
      </w:tr>
      <w:tr>
        <w:trPr/>
        <w:tc>
          <w:tcPr>
            <w:tcW w:w="2176" w:type="dxa"/>
            <w:tcBorders/>
            <w:vAlign w:val="center"/>
          </w:tcPr>
          <w:p>
            <w:pPr>
              <w:pStyle w:val="TableContents"/>
              <w:widowControl w:val="false"/>
              <w:suppressLineNumbers/>
              <w:spacing w:before="0" w:after="200"/>
              <w:rPr/>
            </w:pPr>
            <w:r>
              <w:rPr>
                <w:rStyle w:val="Strong"/>
              </w:rPr>
              <w:t>Dead code</w:t>
            </w:r>
          </w:p>
        </w:tc>
        <w:tc>
          <w:tcPr>
            <w:tcW w:w="3765" w:type="dxa"/>
            <w:tcBorders/>
            <w:vAlign w:val="center"/>
          </w:tcPr>
          <w:p>
            <w:pPr>
              <w:pStyle w:val="TableContents"/>
              <w:widowControl w:val="false"/>
              <w:suppressLineNumbers/>
              <w:spacing w:before="0" w:after="200"/>
              <w:rPr/>
            </w:pPr>
            <w:r>
              <w:rPr/>
              <w:t xml:space="preserve">Dead-code percentage = </w:t>
            </w:r>
            <w:r>
              <w:rPr/>
              <w:t>0</w:t>
            </w:r>
            <w:r>
              <w:rPr/>
              <w:t>%</w:t>
            </w:r>
          </w:p>
        </w:tc>
        <w:tc>
          <w:tcPr>
            <w:tcW w:w="3419" w:type="dxa"/>
            <w:tcBorders/>
            <w:vAlign w:val="center"/>
          </w:tcPr>
          <w:p>
            <w:pPr>
              <w:pStyle w:val="TableContents"/>
              <w:widowControl w:val="false"/>
              <w:suppressLineNumbers/>
              <w:spacing w:before="0" w:after="200"/>
              <w:rPr/>
            </w:pPr>
            <w:r>
              <w:rPr/>
              <w:t>Removable or refactorable code segments</w:t>
            </w:r>
          </w:p>
        </w:tc>
      </w:tr>
      <w:tr>
        <w:trPr/>
        <w:tc>
          <w:tcPr>
            <w:tcW w:w="2176" w:type="dxa"/>
            <w:tcBorders/>
            <w:vAlign w:val="center"/>
          </w:tcPr>
          <w:p>
            <w:pPr>
              <w:pStyle w:val="TableContents"/>
              <w:widowControl w:val="false"/>
              <w:suppressLineNumbers/>
              <w:spacing w:before="0" w:after="200"/>
              <w:rPr/>
            </w:pPr>
            <w:r>
              <w:rPr>
                <w:rStyle w:val="Strong"/>
              </w:rPr>
              <w:t>Modularity</w:t>
            </w:r>
          </w:p>
        </w:tc>
        <w:tc>
          <w:tcPr>
            <w:tcW w:w="3765" w:type="dxa"/>
            <w:tcBorders/>
            <w:vAlign w:val="center"/>
          </w:tcPr>
          <w:p>
            <w:pPr>
              <w:pStyle w:val="TableContents"/>
              <w:widowControl w:val="false"/>
              <w:suppressLineNumbers/>
              <w:spacing w:before="0" w:after="200"/>
              <w:rPr/>
            </w:pPr>
            <w:r>
              <w:rPr/>
              <w:t>Three modules detected; modularity Q = 0.315</w:t>
            </w:r>
          </w:p>
        </w:tc>
        <w:tc>
          <w:tcPr>
            <w:tcW w:w="3419" w:type="dxa"/>
            <w:tcBorders/>
            <w:vAlign w:val="center"/>
          </w:tcPr>
          <w:p>
            <w:pPr>
              <w:pStyle w:val="TableContents"/>
              <w:widowControl w:val="false"/>
              <w:suppressLineNumbers/>
              <w:spacing w:before="0" w:after="200"/>
              <w:rPr/>
            </w:pPr>
            <w:r>
              <w:rPr/>
              <w:t>Moderately cohesive system structure</w:t>
            </w:r>
          </w:p>
        </w:tc>
      </w:tr>
      <w:tr>
        <w:trPr/>
        <w:tc>
          <w:tcPr>
            <w:tcW w:w="2176" w:type="dxa"/>
            <w:tcBorders/>
            <w:vAlign w:val="center"/>
          </w:tcPr>
          <w:p>
            <w:pPr>
              <w:pStyle w:val="TableContents"/>
              <w:widowControl w:val="false"/>
              <w:suppressLineNumbers/>
              <w:spacing w:before="0" w:after="200"/>
              <w:rPr/>
            </w:pPr>
            <w:r>
              <w:rPr>
                <w:rStyle w:val="Strong"/>
              </w:rPr>
              <w:t>Dispatcher influence</w:t>
            </w:r>
          </w:p>
        </w:tc>
        <w:tc>
          <w:tcPr>
            <w:tcW w:w="3765" w:type="dxa"/>
            <w:tcBorders/>
            <w:vAlign w:val="center"/>
          </w:tcPr>
          <w:p>
            <w:pPr>
              <w:pStyle w:val="TableContents"/>
              <w:widowControl w:val="false"/>
              <w:suppressLineNumbers/>
              <w:spacing w:before="0" w:after="200"/>
              <w:rPr/>
            </w:pPr>
            <w:r>
              <w:rPr/>
              <w:t>40% of functions depend (directly/indirectly) on key dispatchers</w:t>
            </w:r>
          </w:p>
        </w:tc>
        <w:tc>
          <w:tcPr>
            <w:tcW w:w="3419" w:type="dxa"/>
            <w:tcBorders/>
            <w:vAlign w:val="center"/>
          </w:tcPr>
          <w:p>
            <w:pPr>
              <w:pStyle w:val="TableContents"/>
              <w:widowControl w:val="false"/>
              <w:suppressLineNumbers/>
              <w:spacing w:before="0" w:after="200"/>
              <w:rPr/>
            </w:pPr>
            <w:r>
              <w:rPr/>
              <w:t>Important architectural leverage points</w:t>
            </w:r>
          </w:p>
        </w:tc>
      </w:tr>
    </w:tbl>
    <w:p>
      <w:pPr>
        <w:pStyle w:val="BodyText"/>
        <w:rPr/>
      </w:pPr>
      <w:r>
        <w:rPr>
          <w:i/>
          <w:iCs/>
        </w:rPr>
        <w:t xml:space="preserve">Table </w:t>
      </w:r>
      <w:r>
        <w:rPr>
          <w:i/>
          <w:iCs/>
        </w:rPr>
        <w:t>2</w:t>
      </w:r>
      <w:r>
        <w:rPr>
          <w:i/>
          <w:iCs/>
        </w:rPr>
        <w:t>. Summary of key structural insights from SSCA.</w:t>
      </w:r>
    </w:p>
    <w:p>
      <w:pPr>
        <w:pStyle w:val="Normal"/>
        <w:rPr>
          <w:i/>
          <w:i/>
          <w:iCs/>
        </w:rPr>
      </w:pPr>
      <w:r>
        <w:rPr>
          <w:i/>
          <w:iCs/>
        </w:rPr>
        <mc:AlternateContent>
          <mc:Choice Requires="wps">
            <w:drawing>
              <wp:inline distT="0" distB="0" distL="0" distR="0">
                <wp:extent cx="5943600" cy="19050"/>
                <wp:effectExtent l="0" t="0" r="0" b="0"/>
                <wp:docPr id="7" name="Shape 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Shape 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Heading2"/>
        <w:rPr/>
      </w:pPr>
      <w:bookmarkStart w:id="6" w:name="e.-reproducibility"/>
      <w:bookmarkStart w:id="7" w:name="appendix"/>
      <w:bookmarkEnd w:id="6"/>
      <w:bookmarkEnd w:id="7"/>
      <w:r>
        <w:rPr/>
        <w:t>References</w:t>
      </w:r>
    </w:p>
    <w:p>
      <w:pPr>
        <w:pStyle w:val="BodyText"/>
        <w:spacing w:before="180" w:after="180"/>
        <w:rPr/>
      </w:pPr>
      <w:r>
        <w:rPr>
          <w:rStyle w:val="Strong"/>
        </w:rPr>
        <w:t>1.</w:t>
      </w:r>
      <w:r>
        <w:rPr/>
        <w:t xml:space="preserve"> Blondel, V.D., Guillaume, J.L., Lambiotte, R., Lefebvre, E.:</w:t>
        <w:br/>
        <w:t xml:space="preserve">Fast unfolding of communities in large networks. </w:t>
      </w:r>
      <w:r>
        <w:rPr>
          <w:rStyle w:val="Emphasis"/>
        </w:rPr>
        <w:t>Journal of Statistical Mechanics: Theory and Experiment</w:t>
      </w:r>
      <w:r>
        <w:rPr/>
        <w:t xml:space="preserve">, </w:t>
      </w:r>
      <w:r>
        <w:rPr>
          <w:rStyle w:val="Strong"/>
          <w:b w:val="false"/>
          <w:bCs w:val="false"/>
          <w:i/>
          <w:iCs/>
        </w:rPr>
        <w:t>P10008</w:t>
      </w:r>
      <w:r>
        <w:rPr>
          <w:b w:val="false"/>
          <w:bCs w:val="false"/>
          <w:i/>
          <w:iCs/>
        </w:rPr>
        <w:t xml:space="preserve"> </w:t>
      </w:r>
      <w:r>
        <w:rPr/>
        <w:t>(2008).</w:t>
        <w:br/>
      </w:r>
      <w:hyperlink r:id="rId7" w:tgtFrame="_new">
        <w:r>
          <w:rPr>
            <w:rStyle w:val="Hyperlink"/>
          </w:rPr>
          <w:t>https://doi.org/10.1088/1742-5468/2008/10/P10008</w:t>
        </w:r>
      </w:hyperlink>
    </w:p>
    <w:p>
      <w:pPr>
        <w:pStyle w:val="BodyText"/>
        <w:rPr/>
      </w:pPr>
      <w:r>
        <w:rPr>
          <w:rStyle w:val="Strong"/>
        </w:rPr>
        <w:t>2.</w:t>
      </w:r>
      <w:r>
        <w:rPr/>
        <w:t xml:space="preserve"> Freeman, L.C.:</w:t>
        <w:br/>
        <w:t xml:space="preserve">Centrality in social networks: Conceptual clarification. </w:t>
      </w:r>
      <w:r>
        <w:rPr>
          <w:rStyle w:val="Emphasis"/>
        </w:rPr>
        <w:t>Social Networks</w:t>
      </w:r>
      <w:r>
        <w:rPr/>
        <w:t xml:space="preserve"> </w:t>
      </w:r>
      <w:r>
        <w:rPr>
          <w:rStyle w:val="Strong"/>
        </w:rPr>
        <w:t>1</w:t>
      </w:r>
      <w:r>
        <w:rPr/>
        <w:t>, 215–239 (1978).</w:t>
        <w:br/>
      </w:r>
      <w:hyperlink r:id="rId8">
        <w:r>
          <w:rPr>
            <w:rStyle w:val="Hyperlink"/>
          </w:rPr>
          <w:t>https://doi.org/10.1016/0378-8733(78)90021-7</w:t>
        </w:r>
      </w:hyperlink>
    </w:p>
    <w:p>
      <w:pPr>
        <w:pStyle w:val="BodyText"/>
        <w:rPr/>
      </w:pPr>
      <w:r>
        <w:rPr>
          <w:rStyle w:val="Strong"/>
        </w:rPr>
        <w:t>3.</w:t>
      </w:r>
      <w:r>
        <w:rPr/>
        <w:t xml:space="preserve"> Murphy, G.C., Notkin, D., Lan, E.S.-C.:</w:t>
        <w:br/>
        <w:t>An empirical study of static call graph extractors.</w:t>
        <w:br/>
        <w:t xml:space="preserve">In: </w:t>
      </w:r>
      <w:r>
        <w:rPr>
          <w:rStyle w:val="Emphasis"/>
        </w:rPr>
        <w:t>Proceedings of the 18th IEEE International Conference on Software Engineering (ICSE)</w:t>
      </w:r>
      <w:r>
        <w:rPr/>
        <w:t>, pp. 90–99. IEEE (1996).</w:t>
        <w:br/>
      </w:r>
      <w:hyperlink r:id="rId9">
        <w:r>
          <w:rPr>
            <w:rStyle w:val="Hyperlink"/>
          </w:rPr>
          <w:t>https://doi.org/10.1109/ICSE.1996.493407</w:t>
        </w:r>
      </w:hyperlink>
    </w:p>
    <w:p>
      <w:pPr>
        <w:pStyle w:val="BodyText"/>
        <w:rPr/>
      </w:pPr>
      <w:r>
        <w:rPr>
          <w:rStyle w:val="Strong"/>
        </w:rPr>
        <w:t>4.</w:t>
      </w:r>
      <w:r>
        <w:rPr/>
        <w:t xml:space="preserve"> Page, L., Brin, S., Motwani, R., Winograd, T.:</w:t>
        <w:br/>
        <w:t>The PageRank citation ranking. Technical Report, Stanford InfoLab (1999).</w:t>
        <w:br/>
      </w:r>
      <w:hyperlink r:id="rId10">
        <w:r>
          <w:rPr>
            <w:rStyle w:val="Hyperlink"/>
          </w:rPr>
          <w:t>http://ilpubs.stanford.edu:8090/422/</w:t>
        </w:r>
      </w:hyperlink>
    </w:p>
    <w:p>
      <w:pPr>
        <w:pStyle w:val="BodyText"/>
        <w:rPr/>
      </w:pPr>
      <w:r>
        <w:rPr>
          <w:rStyle w:val="Strong"/>
        </w:rPr>
        <w:t>5.</w:t>
      </w:r>
      <w:r>
        <w:rPr/>
        <w:t xml:space="preserve"> Sangal, N., Jordan, E., Sinha, V., Jackson, D.:</w:t>
        <w:br/>
        <w:t>Using dependency models to manage complex software architecture.</w:t>
        <w:br/>
        <w:t xml:space="preserve">In: </w:t>
      </w:r>
      <w:r>
        <w:rPr>
          <w:rStyle w:val="Emphasis"/>
        </w:rPr>
        <w:t>Proceedings of the 20th ACM SIGPLAN Conference on Object-Oriented Programming, Systems, Languages, and Applications (OOPSLA)</w:t>
      </w:r>
      <w:r>
        <w:rPr/>
        <w:t>, pp. 167–176. ACM (2005).</w:t>
        <w:br/>
      </w:r>
      <w:hyperlink r:id="rId11">
        <w:r>
          <w:rPr>
            <w:rStyle w:val="Hyperlink"/>
          </w:rPr>
          <w:t>https://doi.org/10.1145/1094811.1094829</w:t>
        </w:r>
      </w:hyperlink>
    </w:p>
    <w:p>
      <w:pPr>
        <w:pStyle w:val="BodyText"/>
        <w:rPr/>
      </w:pPr>
      <w:r>
        <w:rPr>
          <w:rStyle w:val="Strong"/>
        </w:rPr>
        <w:t>6.</w:t>
      </w:r>
      <w:r>
        <w:rPr/>
        <w:t xml:space="preserve"> Schwarz, B., Di Marco, A., Lhoták, O., Bodden, E.:</w:t>
        <w:br/>
        <w:t>PhASAR: An inter-procedural static analysis framework for C/C++.</w:t>
        <w:br/>
        <w:t xml:space="preserve">In: </w:t>
      </w:r>
      <w:r>
        <w:rPr>
          <w:rStyle w:val="Emphasis"/>
        </w:rPr>
        <w:t>Proceedings of the ACM SIGPLAN International Workshop on State Of the Art in Program Analysis (SOAP)</w:t>
      </w:r>
      <w:r>
        <w:rPr/>
        <w:t>, pp. 13–20. ACM (2018).</w:t>
        <w:br/>
      </w:r>
      <w:hyperlink r:id="rId12">
        <w:r>
          <w:rPr>
            <w:rStyle w:val="Hyperlink"/>
          </w:rPr>
          <w:t>https://doi.org/10.1145/3214292.3214295</w:t>
        </w:r>
      </w:hyperlink>
    </w:p>
    <w:p>
      <w:pPr>
        <w:pStyle w:val="BodyText"/>
        <w:rPr/>
      </w:pPr>
      <w:r>
        <w:rPr>
          <w:rStyle w:val="Strong"/>
        </w:rPr>
        <w:t>7.</w:t>
      </w:r>
      <w:r>
        <w:rPr/>
        <w:t xml:space="preserve"> Zhang, Y., Chen, S.:</w:t>
        <w:br/>
        <w:t>Graph-based architectural analysis for IoT firmware.</w:t>
        <w:br/>
      </w:r>
      <w:r>
        <w:rPr>
          <w:rStyle w:val="Emphasis"/>
        </w:rPr>
        <w:t>IEEE Internet of Things Journal</w:t>
      </w:r>
      <w:r>
        <w:rPr/>
        <w:t>, 1–12 (2022).</w:t>
        <w:br/>
      </w:r>
      <w:hyperlink r:id="rId13">
        <w:r>
          <w:rPr>
            <w:rStyle w:val="Hyperlink"/>
          </w:rPr>
          <w:t>https://doi.org/10.1109/JIOT.2021.3138443</w:t>
        </w:r>
      </w:hyperlink>
    </w:p>
    <w:p>
      <w:pPr>
        <w:pStyle w:val="BodyText"/>
        <w:rPr/>
      </w:pPr>
      <w:r>
        <w:rPr/>
      </w:r>
    </w:p>
    <w:p>
      <w:pPr>
        <w:pStyle w:val="BodyText"/>
        <w:spacing w:before="180" w:after="180"/>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oogle Sans Text">
    <w:altName w:val="sans-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Symbol" w:hAnsi="Symbol" w:cs="Symbol" w:hint="default"/>
      </w:rPr>
    </w:lvl>
    <w:lvl w:ilvl="2">
      <w:start w:val="1"/>
      <w:numFmt w:val="bullet"/>
      <w:lvlText w:val=""/>
      <w:lvlJc w:val="left"/>
      <w:pPr>
        <w:tabs>
          <w:tab w:val="num" w:pos="1506"/>
        </w:tabs>
        <w:ind w:left="1506" w:hanging="360"/>
      </w:pPr>
      <w:rPr>
        <w:rFonts w:ascii="Symbol" w:hAnsi="Symbol" w:cs="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Symbol" w:hAnsi="Symbol" w:cs="Symbol" w:hint="default"/>
      </w:rPr>
    </w:lvl>
    <w:lvl w:ilvl="5">
      <w:start w:val="1"/>
      <w:numFmt w:val="bullet"/>
      <w:lvlText w:val=""/>
      <w:lvlJc w:val="left"/>
      <w:pPr>
        <w:tabs>
          <w:tab w:val="num" w:pos="2586"/>
        </w:tabs>
        <w:ind w:left="2586" w:hanging="360"/>
      </w:pPr>
      <w:rPr>
        <w:rFonts w:ascii="Symbol" w:hAnsi="Symbol" w:cs="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Symbol" w:hAnsi="Symbol" w:cs="Symbol" w:hint="default"/>
      </w:rPr>
    </w:lvl>
    <w:lvl w:ilvl="8">
      <w:start w:val="1"/>
      <w:numFmt w:val="bullet"/>
      <w:lvlText w:val=""/>
      <w:lvlJc w:val="left"/>
      <w:pPr>
        <w:tabs>
          <w:tab w:val="num" w:pos="3666"/>
        </w:tabs>
        <w:ind w:left="3666" w:hanging="360"/>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9"/>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hyperlink" Target="https://github.com/" TargetMode="External"/><Relationship Id="rId7" Type="http://schemas.openxmlformats.org/officeDocument/2006/relationships/hyperlink" Target="https://doi.org/10.1088/1742-5468/2008/10/P10008" TargetMode="External"/><Relationship Id="rId8" Type="http://schemas.openxmlformats.org/officeDocument/2006/relationships/hyperlink" Target="https://doi.org/10.1016/0378-8733(78)90021-7" TargetMode="External"/><Relationship Id="rId9" Type="http://schemas.openxmlformats.org/officeDocument/2006/relationships/hyperlink" Target="https://doi.org/10.1109/ICSE.1996.493407" TargetMode="External"/><Relationship Id="rId10" Type="http://schemas.openxmlformats.org/officeDocument/2006/relationships/hyperlink" Target="https://doi.org/10http://ilpubs.stanford.edu:8090/422/.1109/ICSE.1996.493407" TargetMode="External"/><Relationship Id="rId11" Type="http://schemas.openxmlformats.org/officeDocument/2006/relationships/hyperlink" Target="https://doi.org/10.1145/1094811.1094829" TargetMode="External"/><Relationship Id="rId12" Type="http://schemas.openxmlformats.org/officeDocument/2006/relationships/hyperlink" Target="https://doi.org/10.1145/3214292.3214295" TargetMode="External"/><Relationship Id="rId13" Type="http://schemas.openxmlformats.org/officeDocument/2006/relationships/hyperlink" Target="https://doi.org/10.1109/JIOT.2021.3138443"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130</TotalTime>
  <Application>LibreOffice/25.2.2.2$Linux_X86_64 LibreOffice_project/520$Build-2</Application>
  <AppVersion>15.0000</AppVersion>
  <Pages>14</Pages>
  <Words>3286</Words>
  <Characters>21514</Characters>
  <CharactersWithSpaces>24533</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2025-12-23T19:12:26Z</dcterms:created>
  <dc:creator/>
  <dc:description/>
  <dc:language>en-IN</dc:language>
  <cp:lastModifiedBy/>
  <cp:lastPrinted>2025-12-25T00:14:30Z</cp:lastPrinted>
  <dcterms:modified xsi:type="dcterms:W3CDTF">2025-12-25T22:28:27Z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