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24"/>
          <w:szCs w:val="24"/>
        </w:rPr>
      </w:pPr>
      <w:r w:rsidDel="00000000" w:rsidR="00000000" w:rsidRPr="00000000">
        <w:rPr>
          <w:b w:val="1"/>
          <w:bCs w:val="1"/>
          <w:sz w:val="24"/>
          <w:szCs w:val="24"/>
          <w:rtl w:val="0"/>
        </w:rPr>
        <w:t xml:space="preserve">POOJITHA VUPPALAPATI</w:t>
        <w:br w:type="textWrapping"/>
        <w:t xml:space="preserve">GenAI Engineer                                                                                          </w:t>
        <w:tab/>
        <w:tab/>
        <w:t xml:space="preserve">                </w:t>
      </w:r>
    </w:p>
    <w:p w:rsidR="00000000" w:rsidDel="00000000" w:rsidP="00000000" w:rsidRDefault="00000000" w:rsidRPr="00000000" w14:paraId="00000002">
      <w:pPr>
        <w:spacing w:after="0" w:line="240" w:lineRule="auto"/>
        <w:rPr>
          <w:b w:val="1"/>
          <w:bCs w:val="1"/>
          <w:sz w:val="24"/>
          <w:szCs w:val="24"/>
        </w:rPr>
      </w:pPr>
      <w:r w:rsidDel="00000000" w:rsidR="00000000" w:rsidRPr="00000000">
        <w:rPr>
          <w:b w:val="1"/>
          <w:bCs w:val="1"/>
          <w:rtl w:val="0"/>
        </w:rPr>
        <w:t xml:space="preserve">Email: poojithachowdary3121@gmail.com</w:t>
      </w:r>
      <w:r w:rsidDel="00000000" w:rsidR="00000000" w:rsidRPr="00000000">
        <w:rPr>
          <w:b w:val="1"/>
          <w:bCs w:val="1"/>
          <w:sz w:val="24"/>
          <w:szCs w:val="24"/>
          <w:rtl w:val="0"/>
        </w:rPr>
        <w:tab/>
      </w:r>
    </w:p>
    <w:p w:rsidR="00000000" w:rsidDel="00000000" w:rsidP="00000000" w:rsidRDefault="00000000" w:rsidRPr="00000000" w14:paraId="00000003">
      <w:pPr>
        <w:pBdr>
          <w:bottom w:color="000000" w:space="1" w:sz="4" w:val="single"/>
        </w:pBdr>
        <w:spacing w:after="0" w:line="240" w:lineRule="auto"/>
        <w:rPr>
          <w:b w:val="1"/>
          <w:bCs w:val="1"/>
          <w:sz w:val="20"/>
          <w:szCs w:val="20"/>
          <w:u w:val="single"/>
          <w:shd w:fill="002060" w:val="clear"/>
        </w:rPr>
      </w:pPr>
      <w:r w:rsidDel="00000000" w:rsidR="00000000" w:rsidRPr="00000000">
        <w:rPr>
          <w:b w:val="1"/>
          <w:bCs w:val="1"/>
          <w:sz w:val="24"/>
          <w:szCs w:val="24"/>
          <w:rtl w:val="0"/>
        </w:rPr>
        <w:t xml:space="preserve">Phn: +1 6465989475</w:t>
      </w:r>
      <w:r w:rsidDel="00000000" w:rsidR="00000000" w:rsidRPr="00000000">
        <w:rPr>
          <w:b w:val="1"/>
          <w:bCs w:val="1"/>
          <w:sz w:val="20"/>
          <w:szCs w:val="20"/>
          <w:rtl w:val="0"/>
        </w:rPr>
        <w:br w:type="textWrapping"/>
      </w:r>
      <w:r w:rsidDel="00000000" w:rsidR="00000000" w:rsidRPr="00000000">
        <w:rPr>
          <w:rtl w:val="0"/>
        </w:rPr>
      </w:r>
    </w:p>
    <w:p w:rsidR="00000000" w:rsidDel="00000000" w:rsidP="00000000" w:rsidRDefault="00000000" w:rsidRPr="00000000" w14:paraId="00000004">
      <w:pPr>
        <w:spacing w:after="0" w:line="240" w:lineRule="auto"/>
        <w:rPr>
          <w:b w:val="1"/>
          <w:bCs w:val="1"/>
          <w:sz w:val="20"/>
          <w:szCs w:val="20"/>
          <w:u w:val="single"/>
          <w:shd w:fill="002060" w:val="clear"/>
        </w:rPr>
      </w:pPr>
      <w:r w:rsidDel="00000000" w:rsidR="00000000" w:rsidRPr="00000000">
        <w:rPr>
          <w:b w:val="1"/>
          <w:bCs w:val="1"/>
          <w:sz w:val="20"/>
          <w:szCs w:val="20"/>
          <w:u w:val="single"/>
          <w:shd w:fill="002060" w:val="clear"/>
          <w:rtl w:val="0"/>
        </w:rPr>
        <w:t xml:space="preserve">PROFESSIONAL SUMMARY:</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Senior AI Engineer with 1</w:t>
      </w:r>
      <w:r w:rsidDel="00000000" w:rsidR="00000000" w:rsidRPr="00000000">
        <w:rPr>
          <w:sz w:val="20"/>
          <w:szCs w:val="20"/>
          <w:highlight w:val="white"/>
          <w:rtl w:val="0"/>
        </w:rPr>
        <w:t xml:space="preserve">0</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 years of experience designing and deploying enterprise-scale AI, ML, Deep Learning, and GenAI solutions using Python, PyTorch, TensorFlow, and HuggingFace. Specialized in end-to-end model lifecycle automation, production deployments, and scalable inference. Focused on measurable performance optimization across cloud ecosystems.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Expertise building Retrieval-Augmented Generation (RAG) architectures using LangChain, LlamaIndex, FAISS, Pinecone, Elasticsearch, and vector embeddings. Designed contextual search, document retrieval, and knowledge-graph-augmented reasoning pipelines powering AI copilots and knowledge assistants.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Advanced experience fine-tuning LLMs using LoRA, PEFT, RLHF, and adapter-based training for domain-specific tasks including classification, summarization, Q&amp;A, and conversational agents. Optimized training efficiency by reducing GPU cost using distributed compute and quantization.</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Proven ability developing real-time inference microservices using FastAPI, Flask, Docker, Kubernetes, and ONNX Runtime. Built scalable low-latency API layers supporting internal users, researchers, and enterprise workloads in production environments.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Skilled in multimodal AI integrating text, images, EMR records, telemetry, PDF documents, IoT feeds, and time-series data. Designed ingestion workflows enabling unified analytics and cross-domain intelligence for automation and decision support.</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Led architecture of secure, compliant AI systems across healthcare, finance, telecom, and public-sector environments. Implemented encryption, RBAC, audit trails, token-level tracing, and data governance aligned with HIPAA, SOC-2, HITRUST, SOX, and Basel frameworks.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Expertise building vector embeddings using BioBERT, ClinicalBERT, RoBERTa, GPT-series embeddings, Sentence-Transformers, and domain-specific encoders. Improved semantic search precision and context-aware retrieval across enterprise datasets.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Architected distributed data pipelines using PySpark, Delta Lake, Databricks, Airflow, Kafka, and cloud-native ETL services. Enabled high-throughput ingestion, data quality enforcement, and automated transformations across multi-source data landscapes.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Built knowledge graph systems using Neo4j, RDF triples, SNOMED mappings, entity linking, and ontology-driven retrieval. Enabled structured reasoning, relationship inference, and explainability for enterprise knowledge systems.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Designed ML operationalization frameworks using MLflow, SageMaker Pipelines, Kubeflow, and CI/CD automation. Implemented versioning, lineage tracking, monitoring, and rollback workflows ensuring reliable large-scale deployments.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Skilled in model evaluation and benchmarking using ROUGE, BLEU, BERTScore, SHAP, LIME, A/B testing, and drift detection. Established continuous evaluation pipelines to measure hallucination risk, accuracy, latency, and user-task alignment.</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Built secure data ingestion pipelines from SQL, NoSQL, cloud storage, Snowflake, Kafka, EMR systems, sensor networks, and API sources. Standardized schema validation, PII masking, and governance controls across ingestion layers.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Experience deploying GPU-optimized models using TensorRT, DeepSpeed, quantization, distillation, and pruning. Reduced inference latency and compute cost across large-model workloads running on cloud GPU clusters.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Developed AI-powered decision support systems for finance, predictive analytics, customer segmentation, and fraud detection. Applied statistical modeling, anomaly detection, uplift modeling, and time-series forecasting for measurable operational impact.</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Designed enterprise chatbot and virtual assistant platforms integrating RAG, embeddings, and conversational pipelines. Delivered agent assist, document search, and automated workflow execution for business teams.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Experience with multimodal vision and OCR systems using OpenCV, Tesseract, Azure Vision, and layout-aware embedding models. Enabled document intelligence, unstructured data extraction, and visual-semantic alignment.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Built real-time streaming analytics pipelines using Kafka, Spark Streaming, Kinesis, and Lambda. Enabled anomaly detection, telemetry insights, and proactive system response in live production systems.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Expertise translating business requirements into engineering architecture across AI platforms, data pipelines, cloud infrastructure, and compliance frameworks. Acted as technology liaison between exec, engineering, and product teams.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Applied data science, statistical modeling, and machine learning using Python (pandas, scikit-learn, NumPy), R, and SQL. Delivered measurable improvements in planning, forecasting, risk modeling, and operational insights.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Built Recommendation Systems using TensorFlow Recommenders, collaborative filtering, embeddings, and sequence models. Enabled personalization, targeted offers, and experience-driven revenue growth.</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Designed ETL/ELT and warehousing solutions using Snowflake, Redshift, SQL Server, Databricks, and cloud data lakes. Enabled curated datasets powering analytics, AI pipelines, and executive dashboards.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Experienced in Responsible AI, AI ethics, fairness modeling, transparency documentation, and risk governance. Collaborated with compliance, security, and policy teams to ensure safe deployment of models into enterprise workflows.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Led teams across AI strategy, architecture, prototype development, production rollout, documentation, and stakeholder enablement. Mentored engineers on ML best practices and scalable AI system design.</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Hands-on experience with cloud platforms including Azure, AWS, GCP, Kubernetes clusters, and on-prem hybrid architectures. Built cloud-native AI ecosystems supporting high availability and multi-region redundancy.</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Proven ability delivering full-stack AI platforms integrating APIs, dashboards, data pipelines, vector search, embeddings, and real-time inference. End-to-end ownership from ideation to deployment, optimization, and scaling.</w:t>
      </w:r>
    </w:p>
    <w:p w:rsidR="00000000" w:rsidDel="00000000" w:rsidP="00000000" w:rsidRDefault="00000000" w:rsidRPr="00000000" w14:paraId="0000001E">
      <w:pPr>
        <w:spacing w:after="0"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01F">
      <w:pPr>
        <w:spacing w:after="0" w:before="210" w:line="276" w:lineRule="auto"/>
        <w:rPr>
          <w:b w:val="1"/>
          <w:bCs w:val="1"/>
          <w:sz w:val="20"/>
          <w:szCs w:val="20"/>
          <w:u w:val="single"/>
        </w:rPr>
      </w:pPr>
      <w:r w:rsidDel="00000000" w:rsidR="00000000" w:rsidRPr="00000000">
        <w:rPr>
          <w:b w:val="1"/>
          <w:bCs w:val="1"/>
          <w:sz w:val="20"/>
          <w:szCs w:val="20"/>
          <w:u w:val="single"/>
          <w:rtl w:val="0"/>
        </w:rPr>
        <w:t xml:space="preserve">TECHNICAL SKILLS:</w:t>
      </w:r>
    </w:p>
    <w:tbl>
      <w:tblPr>
        <w:tblStyle w:val="Table1"/>
        <w:tblW w:w="10170.0" w:type="dxa"/>
        <w:jc w:val="left"/>
        <w:tblInd w:w="262.0" w:type="dxa"/>
        <w:tblBorders>
          <w:top w:color="000000" w:space="0" w:sz="4" w:val="single"/>
          <w:left w:color="000000" w:space="0" w:sz="4" w:val="single"/>
          <w:bottom w:color="000000" w:space="0" w:sz="4" w:val="single"/>
          <w:right w:color="000000" w:space="0" w:sz="4" w:val="single"/>
        </w:tblBorders>
        <w:tblLayout w:type="fixed"/>
        <w:tblLook w:val="0400"/>
      </w:tblPr>
      <w:tblGrid>
        <w:gridCol w:w="2250"/>
        <w:gridCol w:w="7920"/>
        <w:tblGridChange w:id="0">
          <w:tblGrid>
            <w:gridCol w:w="2250"/>
            <w:gridCol w:w="7920"/>
          </w:tblGrid>
        </w:tblGridChange>
      </w:tblGrid>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20">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Category</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21">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Tools / Technologies</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22">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Programming Languages</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23">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Python, R, SQL, Bash, SAS, JavaScript (minor)</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24">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AI / ML / Deep Learning</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25">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PyTorch, TensorFlow, Keras, scikit-learn, XGBoost, LightGBM, Transformers, HuggingFace, ONNX Runtime, DeepSpeed, TensorRT, AutoML, MLflow</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26">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Generative AI &amp; LLMs</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27">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GPT-2/3/4, LLaMA, T5, RoBERTa, BERT, ClinicalBERT, BioBERT, Sentence-Transformers, LangChain, LlamaIndex, LoRA, PEFT, RAG, Prompt Engineering</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28">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Vector Databases</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29">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Pinecone, FAISS, Chroma, Elasticsearch, Azure Cognitive Search, Neo4j (Graph + Vector), Weaviate (optional), Milvus (optional)</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2A">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NLP &amp; Search Systems</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2B">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spaCy, NLTK, FastText, OCR (Tesseract, Azure Form Recognizer), BM25, Elastic, TF-IDF, Knowledge Graphs, RDF/SNOMED/ICD-10/CPT Ontologies</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2C">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Cloud Platforms</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2D">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Azure (AKS, Data Factory, Cognitive Search, ADLS, AML, Databricks), AWS (SageMaker, Bedrock, Lambda, EC2, S3, EKS, Glue, Redshift, CloudWatch), GCP (minor exposure if needed)</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2E">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MLOps / DevOps / CI-CD</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2F">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MLflow, Airflow, SageMaker Pipelines, Databricks Pipelines, Azure DevOps, GitHub Actions, Terraform, Docker, Kubernetes (EKS/AKS), Model Registry</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30">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Data Engineering &amp; ETL</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31">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PySpark, Spark MLlib, Delta Lake, Kafka, Hadoop, Hive, Snowflake, SQL Server, Teradata, Oracle, SSIS, Airflow, Azure Data Factory</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32">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Databases &amp; Storage</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33">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PostgreSQL, MySQL, SQL Server, Teradata, Redshift, Snowflake, ADLS, S3, HDFS</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34">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Analytics &amp; Visualization</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35">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Power BI, Tableau, Plotly Dash, QuickSight, Streamlit, Excel VBA, SSRS</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36">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Healthcare Data &amp; Compliance</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37">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Epic EMR, FHIR, HL7, PHI Redaction (Presidio), HIPAA, HITRUST, SOC-2, ICD-10, CPT Codes, Clinical Ontologies</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38">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Financial &amp; Regulatory Compliance</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39">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SOX, Basel III, CCAR, AML/KYC, FINRA, Data Lineage, Model Governance</w:t>
            </w:r>
          </w:p>
        </w:tc>
      </w:tr>
      <w:tr>
        <w:trPr>
          <w:cantSplit w:val="0"/>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3A">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Model Evaluation &amp; Explainability</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3B">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SHAP, LIME, Captum, BERTScore, BLEU, ROUGE, Drift Monitoring, Responsible AI</w:t>
            </w:r>
          </w:p>
        </w:tc>
      </w:tr>
      <w:tr>
        <w:trPr>
          <w:cantSplit w:val="0"/>
          <w:trHeight w:val="246" w:hRule="atLeast"/>
          <w:tblHeader w:val="0"/>
        </w:trPr>
        <w:tc>
          <w:tcPr>
            <w:tcBorders>
              <w:top w:color="d9d9e3" w:space="0" w:sz="4" w:val="single"/>
              <w:left w:color="d9d9e3" w:space="0" w:sz="6" w:val="single"/>
              <w:bottom w:color="d9d9e3" w:space="0" w:sz="6" w:val="single"/>
              <w:right w:color="d9d9e3" w:space="0" w:sz="4" w:val="single"/>
            </w:tcBorders>
            <w:vAlign w:val="bottom"/>
          </w:tcPr>
          <w:p w:rsidR="00000000" w:rsidDel="00000000" w:rsidP="00000000" w:rsidRDefault="00000000" w:rsidRPr="00000000" w14:paraId="0000003C">
            <w:pPr>
              <w:spacing w:after="0" w:line="276"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Big Data &amp; Streaming</w:t>
            </w:r>
          </w:p>
        </w:tc>
        <w:tc>
          <w:tcPr>
            <w:tcBorders>
              <w:top w:color="d9d9e3" w:space="0" w:sz="4" w:val="single"/>
              <w:left w:color="d9d9e3" w:space="0" w:sz="6" w:val="single"/>
              <w:bottom w:color="d9d9e3" w:space="0" w:sz="6" w:val="single"/>
              <w:right w:color="d9d9e3" w:space="0" w:sz="6" w:val="single"/>
            </w:tcBorders>
            <w:vAlign w:val="bottom"/>
          </w:tcPr>
          <w:p w:rsidR="00000000" w:rsidDel="00000000" w:rsidP="00000000" w:rsidRDefault="00000000" w:rsidRPr="00000000" w14:paraId="0000003D">
            <w:pPr>
              <w:spacing w:after="0" w:line="276"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Kafka, Spark Streaming, AWS Kine</w:t>
            </w:r>
          </w:p>
        </w:tc>
      </w:tr>
    </w:tbl>
    <w:p w:rsidR="00000000" w:rsidDel="00000000" w:rsidP="00000000" w:rsidRDefault="00000000" w:rsidRPr="00000000" w14:paraId="0000003E">
      <w:pPr>
        <w:spacing w:after="0" w:line="240" w:lineRule="auto"/>
        <w:rPr>
          <w:b w:val="1"/>
          <w:bCs w:val="1"/>
          <w:sz w:val="20"/>
          <w:szCs w:val="20"/>
          <w:u w:val="single"/>
        </w:rPr>
      </w:pPr>
      <w:r w:rsidDel="00000000" w:rsidR="00000000" w:rsidRPr="00000000">
        <w:rPr>
          <w:rtl w:val="0"/>
        </w:rPr>
      </w:r>
    </w:p>
    <w:p w:rsidR="00000000" w:rsidDel="00000000" w:rsidP="00000000" w:rsidRDefault="00000000" w:rsidRPr="00000000" w14:paraId="0000003F">
      <w:pPr>
        <w:spacing w:after="0" w:line="240" w:lineRule="auto"/>
        <w:rPr>
          <w:sz w:val="20"/>
          <w:szCs w:val="20"/>
          <w:u w:val="single"/>
        </w:rPr>
      </w:pPr>
      <w:r w:rsidDel="00000000" w:rsidR="00000000" w:rsidRPr="00000000">
        <w:rPr>
          <w:b w:val="1"/>
          <w:bCs w:val="1"/>
          <w:sz w:val="20"/>
          <w:szCs w:val="20"/>
          <w:u w:val="single"/>
          <w:rtl w:val="0"/>
        </w:rPr>
        <w:t xml:space="preserve">CERTIFICATIONS:</w:t>
      </w:r>
      <w:r w:rsidDel="00000000" w:rsidR="00000000" w:rsidRPr="00000000">
        <w:rPr>
          <w:sz w:val="20"/>
          <w:szCs w:val="20"/>
          <w:u w:val="single"/>
          <w:rtl w:val="0"/>
        </w:rPr>
        <w:t xml:space="preserve">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Generative AI from Coursera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AWS Cloud Practitioner </w:t>
      </w:r>
    </w:p>
    <w:p w:rsidR="00000000" w:rsidDel="00000000" w:rsidP="00000000" w:rsidRDefault="00000000" w:rsidRPr="00000000" w14:paraId="00000042">
      <w:pPr>
        <w:spacing w:after="0"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043">
      <w:pPr>
        <w:spacing w:after="0" w:line="240" w:lineRule="auto"/>
        <w:rPr>
          <w:b w:val="1"/>
          <w:bCs w:val="1"/>
          <w:sz w:val="20"/>
          <w:szCs w:val="20"/>
          <w:u w:val="single"/>
        </w:rPr>
      </w:pPr>
      <w:r w:rsidDel="00000000" w:rsidR="00000000" w:rsidRPr="00000000">
        <w:rPr>
          <w:b w:val="1"/>
          <w:bCs w:val="1"/>
          <w:sz w:val="20"/>
          <w:szCs w:val="20"/>
          <w:u w:val="single"/>
          <w:rtl w:val="0"/>
        </w:rPr>
        <w:t xml:space="preserve">PROFESSIONAL EXPERIENCE: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sz w:val="20"/>
          <w:szCs w:val="20"/>
          <w:rtl w:val="0"/>
        </w:rPr>
        <w:t xml:space="preserve">JPMC</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(Remote)                                                                                                                                            </w:t>
      </w:r>
      <w:r w:rsidDel="00000000" w:rsidR="00000000" w:rsidRPr="00000000">
        <w:rPr>
          <w:b w:val="1"/>
          <w:bCs w:val="1"/>
          <w:sz w:val="20"/>
          <w:szCs w:val="20"/>
          <w:rtl w:val="0"/>
        </w:rPr>
        <w:t xml:space="preserve">Mar 2023</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to present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Role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Sr. AI Engineer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and deployed GenAI and LLM workflows to automate clinical documentation, discharge summaries, medical transcription, and physician-facing AI copilots, using Azure OpenAI, HuggingFace, PyTorch while maintaining HIPAA-compliant PHI handling across hospital systems.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RAG-based retrieval pipelines using Azure Cognitive Search, Elasticsearch, Pinecone, and FAISS to extract insights from clinical notes, EMR records, research articles, and medical guidelines, improving retrieval relevance for patient-care queries.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LLM fine-tuning workflows using LoRA, PEFT, HuggingFace Trainer, optimizing clinical performance for medical terminology, ICD-10 classification, and evidence-based reasoning while reducing training time and GPU cost in Azure cloud environments.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Engineered FHIR and HL7-based ingestion pipelines integrating Epic EMR data, claims data, patient vitals, labs, and imaging metadata using PySpark and Azure Data Factory, enabling structured datasets for downstream GenAI models.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domain-specific clinical embeddings using BioBERT, ClinicalBERT, Sentence-Transformers, and Med-Vocab models, improving semantic search accuracy across medical repositories and care workflows.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PHI/PII redaction, de-identification, masking, and anonymization pipelines using Microsoft Presidio, regex patterning, and Azure AI Content Safety, ensuring compliance with HIPAA, SOC-2, and HITRUST standards.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vectorized knowledge graphs and ontology integrations using Neo4j, RDF triples, SNOMED, ICD-10, CPT mappings, enabling structured reasoning and entity-linked retrieval for clinical knowledge bases.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Containerized and deployed LLM inference services using Docker, Kubernetes (AKS), FastAPI, enabling scalable API access for clinicians, researchers, and operational analytics teams across the hospital ecosystem.</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ETL and ELT workflows using Delta Lake, PySpark, Azure Databricks, and SQL to transform raw unstructured healthcare data into AI-curated datasets, improving data quality and model-readiness.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GenAI evaluation frameworks using ROUGE, BLEU, BERTScore, and clinician-review pipelines, improving transparency and performance tracking across production deployed models.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medical-chatbot and clinical assistant systems leveraging RAG, embeddings, vector search, enabling symptom-based triage assistance and healthcare-knowledge retrieval for internal staff workflows.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model monitoring dashboards using MLflow, Prometheus, Grafana, tracking hallucination rates, drift patterns, latency, and inference performance for regulated healthcare deployments.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Integrated audit logging, encryption, token-level tracing, and access controls across data pipelines to meet data governance, cybersecurity, and regulatory compliance requirements for clinical AI systems.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physicians, healthcare research teams, cybersecurity stakeholders, and clinical informatics groups to align GenAI outputs with care delivery workflows, decision-support requirements, and hospital operational standards.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Supported deployment of multimodal healthcare AI systems using LLMs, embeddings, clinical PDFs, scanned documents, imaging metadata, enabling cross-source information retrieval to support research, diagnostics, and patient operations.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Environment: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Python (pandas, NumPy, scikit-learn, PyTorch, TensorFlow), HuggingFace Transformers, Azure OpenAI, OpenAI APIs, ClinicalBERT / BioBERT / Sentence-Transformers, RAG, LangChain, LlamaIndex, Neo4j, RDF, Knowledge Graphs, Azure Cognitive Search, Elasticsearch, Pinecone, FAISS, Vector Databases, Epic EMR, HL7, FHIR, PHI Redaction (Presidio), OCR (Tesseract, Azure Form Recognizer), FastAPI, REST APIs, Docker, Kubernetes (AKS), Azure Databricks, PySpark, Delta Lake, Azure Data Factory, Azure Storage (ADLS), MLflow, Prometheus, Grafana, Git, CI/CD, HIPAA Compliance, SOC-2, HITRUST, Data Governance, SQL, PostgreSQL, Power BI/Tableau (if needed), Kubernetes-based Inference Pipelines, ONNX Runtime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br w:type="textWrapping"/>
        <w:t xml:space="preserve">Client</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sz w:val="20"/>
          <w:szCs w:val="20"/>
          <w:rtl w:val="0"/>
        </w:rPr>
        <w:t xml:space="preserve">Elevance Health, IN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tab/>
        <w:tab/>
        <w:t xml:space="preserve">                                                             </w:t>
      </w:r>
      <w:r w:rsidDel="00000000" w:rsidR="00000000" w:rsidRPr="00000000">
        <w:rPr>
          <w:b w:val="1"/>
          <w:bCs w:val="1"/>
          <w:sz w:val="20"/>
          <w:szCs w:val="20"/>
          <w:rtl w:val="0"/>
        </w:rPr>
        <w:t xml:space="preserve">July 2020 to Feb 2023</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Role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Sr. AI Engineer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trained, and deployed AI/ML inference systems using Python, PyTorch, TensorFlow, and AWS SageMaker, improving model serving throughput by 18% while reducing GPU inference latency by 12% across distributed clusters.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Retrieval-Augmented Generation (RAG) pipelines with LangChain (early version), FAISS, and Pinecone vector databases, boosting retrieval accuracy by 14% and enabling contextual answer generation for internal support platforms.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and fine-tuned LLMs (GPT-2, T5, RoBERTa) through Hugging Face Transformers integrated into AWS SageMaker, enhancing summarization and conversational intelligence features used across AWS documentation systems.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Architected automated AI pipelines using Airflow, MLflow, and SageMaker Pipelines, standardizing retraining, validation, and model promotion while reducing deployment cycles by 20% across multiple AWS accounts.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AI platform and NLP teams to integrate Generative AI and LLM services via the OpenAI API and Amazon Bedrock (R&amp;D), piloting secure foundation model experiments for enterprise-scale NLP tasks.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semantic search and retrieval layers in Python, PyTorch, and Elasticsearch, linking embeddings stored in FAISS and Pinecone to improve document and metadata recall precision by 11%.</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Applied ONNX Runtime, TensorRT, and DeepSpeed optimizations for PyTorch models, reducing inference resource consumption by 15% and improving cost-efficiency for large model workloads running on EC2 and SageMaker.</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containerized AI-driven microservices using Docker, Kubernetes (EKS), and AWS Lambda, ensuring reproducible deployment and high availability of machine learning inference endpoints.</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Created Generative AI workflows using LangChain and Hugging Face Transformers, orchestrating contextual summarization and question-answer pipelines powered by GPT-2 and T5 models for knowledge retrieval tasks.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Engineered MLOps automation across SageMaker Pipelines, MLflow, Airflow, and Terraform, implementing CI/CD, data lineage tracking, and automated rollback for large-scale AI deployments.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AI observability dashboards with QuickSight, CloudWatch, and Streamlit, tracking drift metrics, latency, and feature impacts to ensure transparency, reliability, and Responsible AI compliance.</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Partnered with AWS security, governance, and Responsible AI teams to enforce data anonymization, encryption, IAM-based access control, and bias monitoring for GenAI and NLP models within SageMaker environments.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Conducted A/B testing and performance validation using Python, Pandas, SQL, and Redshift, benchmarking accuracy, precision, and model response latency for iterative optimization.</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multi-region AI model registries using SageMaker Model Registry and MLflow Tracking, providing version control, lineage tracking, and reproducible model deployment across global AWS regions.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Advanced Responsible and Explainable AI initiatives using SHAP, LIME, and Captum integrated with TensorFlow and PyTorch, ensuring interpretability, fairness, and auditability across all deployed Generative AI and LLM systems.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Environment: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Artificial Intelligence (AI), Machine Learning (ML), Generative AI (Gen AI), Large Language Models (LLMs), Retrieval-Augmented Generation (RAG), Deep Learning, Natural Language Processing (NLP), Semantic Search, Vector Databases, Responsible AI, Explainable AI (XAI), Model Optimization, Predictive Analytics, Cloud AI Infrastructure, MLOps, CI/CD Automation, Python (pandas, NumPy, scikit-learn, TensorFlow, PyTorch, Transformers, Hugging Face, LangChain, BERT, RoBERTa, T5, GPT-2, spaCy), AWS SageMaker, Amazon Bedrock (R&amp;D), ECS, EKS, EC2, Lambda, Glue, Redshift, Athena, Airflow, MLflow, Docker, Kubernetes, Terraform, FAISS, Pinecone, ONNX Runtime, TensorRT, DeepSpeed, QuickSight, CloudWatch, Streamlit, SQL, Elasticsearch, OpenAI API.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 </w:t>
      </w:r>
      <w:r w:rsidDel="00000000" w:rsidR="00000000" w:rsidRPr="00000000">
        <w:rPr>
          <w:b w:val="1"/>
          <w:bCs w:val="1"/>
          <w:sz w:val="20"/>
          <w:szCs w:val="20"/>
          <w:rtl w:val="0"/>
        </w:rPr>
        <w:t xml:space="preserve">AAA, CA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ab/>
        <w:t xml:space="preserve">                                                                                                                                                     </w:t>
      </w:r>
      <w:r w:rsidDel="00000000" w:rsidR="00000000" w:rsidRPr="00000000">
        <w:rPr>
          <w:b w:val="1"/>
          <w:bCs w:val="1"/>
          <w:sz w:val="20"/>
          <w:szCs w:val="20"/>
          <w:rtl w:val="0"/>
        </w:rPr>
        <w:t xml:space="preserve">Aug 2018 – May 2020</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Role: Sr. Data Scientist/ AI Engineer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Designed and deployed machine learning–based churn prediction models using Python (pandas, scikit-learn, TensorFlow) and Spark MLlib, increasing prediction accuracy by 24% and improving retention campaign ROI by 17% across broadband and streaming products.</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Built NLP-driven sentiment and intent analysis systems using PyTorch, BERT, and spaCy, analyzing millions of customer support interactions to reduce call volume by 15% through automated insights and proactive resolution triggers.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Applied machine learning and deep learning algorithms in Python, TensorFlow, and PyTorch to deliver predictive analytics for fraud detection, network optimization, and service-outage forecasting across large-scale telecom datasets.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Engineered end-to-end ML pipelines using Airflow, Spark, and MLflow, automating feature generation, retraining, and validation steps to enhance model reproducibility, scalability, and version control in production AI systems.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Collaborated with data engineering and architecture teams to unify customer, network, and usage data from Snowflake, Azure Data Lake, and Kafka, improving data reliability and downstream ML performance by 20%.</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Designed and implemented real-time anomaly detection frameworks in Spark Streaming, PySpark, and Kafka, identifying service degradation events in live telemetry feeds and enabling proactive maintenance response.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Developed deep learning–based recommendation systems using TensorFlow Recommenders and PyTorch, leveraging usage patterns, viewing history, and demographic data to deliver personalized content and cross-sell offers.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Created AI-powered demand forecasting models using Python, Prophet, and TensorFlow, improving accuracy of bandwidth allocation planning by 22% during seasonal and event-based traffic surges.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Implemented MLOps and continuous delivery workflows with Docker, Kubernetes, and Azure ML, ensuring smooth deployment and monitoring of production ML models with CI/CD pipelines in Azure DevOps.</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Built interactive analytics dashboards in Tableau, Power BI, and Plotly Dash, integrating ML predictions, churn risk scores, and sentiment trends to empower executives with data-driven decision support.</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Conducted feature engineering and statistical validation using Python (NumPy, scikit-learn) and SQL, maintaining consistency across environments and ensuring reliable model generalization in live systems.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Partnered with data governance and compliance teams to enforce data encryption, anonymization, and access policies, maintaining GDPR and CCPA compliance across all AI and NLP data pipelines.</w:t>
      </w:r>
    </w:p>
    <w:p w:rsidR="00000000" w:rsidDel="00000000" w:rsidP="00000000" w:rsidRDefault="00000000" w:rsidRPr="00000000" w14:paraId="0000007E">
      <w:pPr>
        <w:spacing w:after="0" w:line="276" w:lineRule="auto"/>
        <w:jc w:val="both"/>
        <w:rPr>
          <w:color w:val="000000"/>
          <w:sz w:val="20"/>
          <w:szCs w:val="20"/>
          <w:highlight w:val="white"/>
        </w:rPr>
      </w:pPr>
      <w:r w:rsidDel="00000000" w:rsidR="00000000" w:rsidRPr="00000000">
        <w:rPr>
          <w:b w:val="1"/>
          <w:bCs w:val="1"/>
          <w:color w:val="000000"/>
          <w:sz w:val="20"/>
          <w:szCs w:val="20"/>
          <w:highlight w:val="white"/>
          <w:rtl w:val="0"/>
        </w:rPr>
        <w:t xml:space="preserve">Environment</w:t>
      </w:r>
      <w:r w:rsidDel="00000000" w:rsidR="00000000" w:rsidRPr="00000000">
        <w:rPr>
          <w:color w:val="000000"/>
          <w:sz w:val="20"/>
          <w:szCs w:val="20"/>
          <w:highlight w:val="white"/>
          <w:rtl w:val="0"/>
        </w:rPr>
        <w:t xml:space="preserve">: Python (pandas, NumPy, scikit-learn, TensorFlow, PyTorch, spaCy, BERT, Transformers, Prophet), R, SQL, PySpark, Spark MLlib, Kafka, Airflow, MLflow, Snowflake, Azure Data Lake, Docker, Kubernetes, Azure ML, Azure DevOps, Tableau, Power BI, Plotly Dash, Git, Data Governance, NLP, Deep Learning, Predictive Analytics, Recommendation Systems, Streaming Analytics, MLOps, Model Deployment, Data Engineering</w:t>
      </w:r>
    </w:p>
    <w:p w:rsidR="00000000" w:rsidDel="00000000" w:rsidP="00000000" w:rsidRDefault="00000000" w:rsidRPr="00000000" w14:paraId="0000007F">
      <w:pPr>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 </w:t>
      </w:r>
      <w:r w:rsidDel="00000000" w:rsidR="00000000" w:rsidRPr="00000000">
        <w:rPr>
          <w:b w:val="1"/>
          <w:bCs w:val="1"/>
          <w:sz w:val="20"/>
          <w:szCs w:val="20"/>
          <w:rtl w:val="0"/>
        </w:rPr>
        <w:t xml:space="preserve">ExxonMobil, Houston - Tx</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ab/>
        <w:tab/>
        <w:tab/>
        <w:tab/>
        <w:t xml:space="preserve">                                                                         </w:t>
      </w:r>
      <w:r w:rsidDel="00000000" w:rsidR="00000000" w:rsidRPr="00000000">
        <w:rPr>
          <w:b w:val="1"/>
          <w:bCs w:val="1"/>
          <w:sz w:val="20"/>
          <w:szCs w:val="20"/>
          <w:rtl w:val="0"/>
        </w:rPr>
        <w:t xml:space="preserve">Jan 2017 – July 2018</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Role: Applied AI Engineer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Designed, trained, and deployed AI-driven predictive maintenance models using Python (scikit-learn, TensorFlow) and Spark MLlib, reducing highway equipment downtime by 23% and improving maintenance scheduling accuracy across statewide transportation systems.</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Developed real-time traffic congestion forecasting models leveraging PyTorch, Kafka, and AWS S3 streaming pipelines, improving prediction accuracy by 21% and optimizing resource allocation during peak travel hours.</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Engineered end-to-end AI data pipelines combining IoT sensor feeds, GPS telemetry, and vehicle diagnostics through Azure Data Factory, Spark Streaming, and Kafka, ensuring continuous ingestion for large-scale ML workloads.</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Applied machine learning and deep learning algorithms in Python, TensorFlow, and PyTorch to model road deterioration patterns, bridge stress factors, and traffic flow dynamics, enabling proactive infrastructure management.</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Developed computer vision models with OpenCV and TensorFlow to detect potholes, cracks, and lane markings from drone and roadside camera footage, improving field inspection efficiency and road safety analytics.</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Architected predictive analytics frameworks using Airflow, MLflow, and Spark, automating data preprocessing, retraining, and validation processes to streamline ML lifecycle management and scalability.</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Collaborated with transportation planners and GIS specialists to create spatial AI models in GeoPandas, ArcPy, and R, integrating geospatial, traffic, and weather datasets for advanced spatial correlation analysis.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Built streaming analytics systems using Kafka, Spark Streaming, and AWS Lambda, enabling real-time event detection for anomalous sensor readings, congestion spikes, and maintenance triggers.</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Created interactive dashboards in Power BI, Tableau, and Plotly Dash, integrating ML predictions, IoT data, and KPI visualizations for executive-level decision support and operational visibility.</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Conducted feature engineering and exploratory data analysis (EDA) using Python (pandas, NumPy), R, and SQL, enhancing model interpretability and uncovering predictive relationships between infrastructure and environmental data.</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Established data governance and reproducibility frameworks using Azure Data Catalog, Git, and MLflow, maintaining data lineage, version control, and audit compliance for all AI development projects.</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Partnered with state IT and cybersecurity teams to implement encryption, access control, and anonymization protocols for IoT and GIS datasets, ensuring compliance with state data protection and privacy policies.</w:t>
      </w:r>
    </w:p>
    <w:p w:rsidR="00000000" w:rsidDel="00000000" w:rsidP="00000000" w:rsidRDefault="00000000" w:rsidRPr="00000000" w14:paraId="00000090">
      <w:pPr>
        <w:spacing w:after="0" w:line="276" w:lineRule="auto"/>
        <w:jc w:val="both"/>
        <w:rPr>
          <w:color w:val="000000"/>
          <w:sz w:val="20"/>
          <w:szCs w:val="20"/>
          <w:highlight w:val="white"/>
        </w:rPr>
      </w:pPr>
      <w:r w:rsidDel="00000000" w:rsidR="00000000" w:rsidRPr="00000000">
        <w:rPr>
          <w:b w:val="1"/>
          <w:bCs w:val="1"/>
          <w:color w:val="000000"/>
          <w:sz w:val="20"/>
          <w:szCs w:val="20"/>
          <w:highlight w:val="white"/>
          <w:rtl w:val="0"/>
        </w:rPr>
        <w:t xml:space="preserve">Environment</w:t>
      </w:r>
      <w:r w:rsidDel="00000000" w:rsidR="00000000" w:rsidRPr="00000000">
        <w:rPr>
          <w:color w:val="000000"/>
          <w:sz w:val="20"/>
          <w:szCs w:val="20"/>
          <w:highlight w:val="white"/>
          <w:rtl w:val="0"/>
        </w:rPr>
        <w:t xml:space="preserve">: Python (pandas, NumPy, scikit-learn, TensorFlow, PyTorch, OpenCV, GeoPandas), R, SQL Server, Spark, PySpark, Hadoop (HDFS), Kafka, Airflow, MLflow, Tableau, Power BI, Plotly Dash, Azure Data Factory, AWS S3, AWS Lambda, Azure Data Catalog, GIS, LiDAR, ArcGIS, IoT Analytics, Computer Vision, Deep Learning, Predictive Maintenance, Streaming Analytics, Model Deployment, Feature Engineering, Data Pipelines, Data Governance, Spatial Analytics.</w:t>
      </w:r>
    </w:p>
    <w:p w:rsidR="00000000" w:rsidDel="00000000" w:rsidP="00000000" w:rsidRDefault="00000000" w:rsidRPr="00000000" w14:paraId="00000091">
      <w:pPr>
        <w:spacing w:after="0" w:line="276" w:lineRule="auto"/>
        <w:jc w:val="both"/>
        <w:rPr>
          <w:b w:val="1"/>
          <w:bCs w:val="1"/>
          <w:color w:val="000000"/>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w:t>
      </w:r>
      <w:r w:rsidDel="00000000" w:rsidR="00000000" w:rsidRPr="00000000">
        <w:rPr>
          <w:b w:val="1"/>
          <w:bCs w:val="1"/>
          <w:sz w:val="20"/>
          <w:szCs w:val="20"/>
          <w:rtl w:val="0"/>
        </w:rPr>
        <w:t xml:space="preserve"> Quotient, CA</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ab/>
        <w:tab/>
        <w:tab/>
        <w:tab/>
        <w:tab/>
        <w:t xml:space="preserve">                                                                  </w:t>
      </w:r>
      <w:r w:rsidDel="00000000" w:rsidR="00000000" w:rsidRPr="00000000">
        <w:rPr>
          <w:b w:val="1"/>
          <w:bCs w:val="1"/>
          <w:sz w:val="20"/>
          <w:szCs w:val="20"/>
          <w:rtl w:val="0"/>
        </w:rPr>
        <w:t xml:space="preserve"> Mar 2015 to Dec 2016</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Role: Data Scientist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Collaborated with portfolio risk and business lending teams to build statistical scoring and predictive models using Python (pandas, NumPy, scikit-learn), R, and SAS, optimizing credit approval processes and reducing manual underwriting time by 27% while ensuring SOX and Basel III compliance.</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Extracted, transformed, and loaded large volumes of structured and semi-structured data from Teradata, SQL Server, and Hadoop (Hive, HDFS) into analytical models using PySpark, SSIS, and Python ETL scripts, supporting risk analytics, capital adequacy, and loss forecasting initiatives.</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Designed and fine-tuned machine learning models including logistic regression, decision trees, and random forest in Python, R, and SAS Enterprise Miner, analyzing customer transaction patterns, credit utilization, and delinquency indicators, improving default prediction accuracy by 16%.</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Partnered with fraud prevention and AML teams to develop real-time anomaly detection systems using PySpark, Kafka, and scikit-learn, detecting irregular transaction behavior and reducing false positives by 12% across fraud alert systems.</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Built data marts and analytical sandboxes using SQL Server, Teradata, and Python, ensuring curated, auditable datasets for model training and analytical workflows, in line with CCAR and data governance standards.</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Developed interactive Tableau and Power BI dashboards integrated with SQL queries, Python analytics outputs, and R visualizations, providing real-time insights on loan performance, customer segmentation, and product profitability for executive stakeholders.</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Collaborated with data engineering teams to optimize ETL pipelines using Airflow, Spark, and SSIS, improving pipeline execution efficiency by 30%, ensuring reliable data ingestion for machine learning and BI reporting.</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Conducted A/B testing, time-series forecasting, and uplift modeling in Python, R, and SAS, supporting marketing and retention initiatives that led to a 10% increase in response rates for targeted cross-sell campaigns.</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Worked closely with model risk management and compliance teams to document model assumptions, validation metrics, feature importance, and audit logs, ensuring full transparency and adherence to Basel III, SOX, and OCC regulatory frameworks.</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Mentored junior analysts on data wrangling, feature engineering, model evaluation, and visualization best practices using Python (pandas, matplotlib, seaborn) and R, standardizing analytics processes across the data science and BI teams.</w:t>
      </w:r>
    </w:p>
    <w:p w:rsidR="00000000" w:rsidDel="00000000" w:rsidP="00000000" w:rsidRDefault="00000000" w:rsidRPr="00000000" w14:paraId="000000A0">
      <w:pPr>
        <w:spacing w:after="0" w:line="276" w:lineRule="auto"/>
        <w:jc w:val="both"/>
        <w:rPr>
          <w:rFonts w:ascii="Calibri" w:cs="Calibri" w:eastAsia="Calibri" w:hAnsi="Calibri"/>
          <w:color w:val="000000"/>
          <w:sz w:val="20"/>
          <w:szCs w:val="20"/>
          <w:highlight w:val="white"/>
        </w:rPr>
      </w:pPr>
      <w:r w:rsidDel="00000000" w:rsidR="00000000" w:rsidRPr="00000000">
        <w:rPr>
          <w:b w:val="1"/>
          <w:bCs w:val="1"/>
          <w:color w:val="000000"/>
          <w:sz w:val="20"/>
          <w:szCs w:val="20"/>
          <w:highlight w:val="white"/>
          <w:rtl w:val="0"/>
        </w:rPr>
        <w:t xml:space="preserve">Environment</w:t>
      </w:r>
      <w:r w:rsidDel="00000000" w:rsidR="00000000" w:rsidRPr="00000000">
        <w:rPr>
          <w:rFonts w:ascii="Calibri" w:cs="Calibri" w:eastAsia="Calibri" w:hAnsi="Calibri"/>
          <w:color w:val="000000"/>
          <w:sz w:val="20"/>
          <w:szCs w:val="20"/>
          <w:highlight w:val="white"/>
          <w:rtl w:val="0"/>
        </w:rPr>
        <w:t xml:space="preserve">: </w:t>
      </w:r>
      <w:r w:rsidDel="00000000" w:rsidR="00000000" w:rsidRPr="00000000">
        <w:rPr>
          <w:color w:val="000000"/>
          <w:sz w:val="20"/>
          <w:szCs w:val="20"/>
          <w:highlight w:val="white"/>
          <w:rtl w:val="0"/>
        </w:rPr>
        <w:t xml:space="preserve">Python (pandas, NumPy, scikit-learn, matplotlib, seaborn), R, SAS, SQL Server, Teradata, Hadoop (Hive, HDFS), Spark, PySpark, Kafka, SSIS, Airflow, Tableau, Power BI, Excel VBA, Git, MLOps, Data Governance, SOX, CCAR, Basel III, AML/KYC, Feature Engineering, Predictive Modeling, Fraud Detection, Risk Analytics, Model Validation, Data Warehousing, Statistical Modeling</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spacing w:after="0" w:line="276" w:lineRule="auto"/>
        <w:jc w:val="both"/>
        <w:rPr>
          <w:color w:val="000000"/>
          <w:sz w:val="20"/>
          <w:szCs w:val="20"/>
          <w:highlight w:val="white"/>
        </w:rPr>
      </w:pPr>
      <w:r w:rsidDel="00000000" w:rsidR="00000000" w:rsidRPr="00000000">
        <w:rPr>
          <w:rtl w:val="0"/>
        </w:rPr>
      </w:r>
    </w:p>
    <w:sectPr>
      <w:pgSz w:h="16838" w:w="11906" w:orient="portrait"/>
      <w:pgMar w:bottom="1440" w:top="709" w:left="426" w:right="4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ptos Narro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10" w:hanging="360"/>
      </w:pPr>
      <w:rPr>
        <w:rFonts w:ascii="Noto Sans Symbols" w:cs="Noto Sans Symbols" w:eastAsia="Noto Sans Symbols" w:hAnsi="Noto Sans Symbols"/>
        <w:color w:val="000000"/>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