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106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85"/>
        <w:gridCol w:w="4995"/>
        <w:tblGridChange w:id="0">
          <w:tblGrid>
            <w:gridCol w:w="5685"/>
            <w:gridCol w:w="49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pStyle w:val="Heading1"/>
              <w:widowControl w:val="0"/>
              <w:spacing w:line="240" w:lineRule="auto"/>
              <w:rPr/>
            </w:pPr>
            <w:bookmarkStart w:colFirst="0" w:colLast="0" w:name="_8z5r2vd95co" w:id="0"/>
            <w:bookmarkEnd w:id="0"/>
            <w:r w:rsidDel="00000000" w:rsidR="00000000" w:rsidRPr="00000000">
              <w:rPr>
                <w:rtl w:val="0"/>
              </w:rPr>
              <w:t xml:space="preserve">JEROME BRIDGE</w:t>
            </w:r>
          </w:p>
          <w:p w:rsidR="00000000" w:rsidDel="00000000" w:rsidP="00000000" w:rsidRDefault="00000000" w:rsidRPr="00000000" w14:paraId="00000003">
            <w:pPr>
              <w:widowControl w:val="0"/>
              <w:spacing w:line="240" w:lineRule="auto"/>
              <w:rPr/>
            </w:pPr>
            <w:r w:rsidDel="00000000" w:rsidR="00000000" w:rsidRPr="00000000">
              <w:rPr>
                <w:rtl w:val="0"/>
              </w:rPr>
              <w:t xml:space="preserve">jeromebridge@gmail.com</w:t>
            </w:r>
          </w:p>
          <w:p w:rsidR="00000000" w:rsidDel="00000000" w:rsidP="00000000" w:rsidRDefault="00000000" w:rsidRPr="00000000" w14:paraId="00000004">
            <w:pPr>
              <w:widowControl w:val="0"/>
              <w:spacing w:line="240" w:lineRule="auto"/>
              <w:rPr/>
            </w:pPr>
            <w:r w:rsidDel="00000000" w:rsidR="00000000" w:rsidRPr="00000000">
              <w:rPr>
                <w:rtl w:val="0"/>
              </w:rPr>
              <w:t xml:space="preserve">(484) 557-9814</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6">
            <w:pPr>
              <w:ind w:left="720" w:firstLine="0"/>
              <w:jc w:val="right"/>
              <w:rPr/>
            </w:pPr>
            <w:r w:rsidDel="00000000" w:rsidR="00000000" w:rsidRPr="00000000">
              <w:rPr/>
              <w:drawing>
                <wp:inline distB="114300" distT="114300" distL="114300" distR="114300">
                  <wp:extent cx="971636" cy="10487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71636" cy="10487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7">
      <w:pPr>
        <w:pStyle w:val="Heading1"/>
        <w:rPr/>
      </w:pPr>
      <w:bookmarkStart w:colFirst="0" w:colLast="0" w:name="_q6moq1j3v60b" w:id="1"/>
      <w:bookmarkEnd w:id="1"/>
      <w:r w:rsidDel="00000000" w:rsidR="00000000" w:rsidRPr="00000000">
        <w:rPr>
          <w:rtl w:val="0"/>
        </w:rPr>
        <w:t xml:space="preserve">SUMMARY OF ACCOMPLISHMENTS</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b w:val="1"/>
          <w:bCs w:val="1"/>
          <w:rtl w:val="0"/>
        </w:rPr>
        <w:t xml:space="preserve">Co-author of the Penn River Life &amp; Annuity Core Policy Administration System</w:t>
      </w:r>
      <w:r w:rsidDel="00000000" w:rsidR="00000000" w:rsidRPr="00000000">
        <w:rPr>
          <w:rtl w:val="0"/>
        </w:rPr>
        <w:t xml:space="preserve">, establishing the platform’s infrastructure, architectural foundation, and long-term technical direction.</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Built and directed Penn River’s engineering organization</w:t>
      </w:r>
      <w:r w:rsidDel="00000000" w:rsidR="00000000" w:rsidRPr="00000000">
        <w:rPr>
          <w:rtl w:val="0"/>
        </w:rPr>
        <w:t xml:space="preserve">, growing the team from inception and instituting development best practices.</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Designed and implemented Penn River’s AWS cloud solution</w:t>
      </w:r>
      <w:r w:rsidDel="00000000" w:rsidR="00000000" w:rsidRPr="00000000">
        <w:rPr>
          <w:rtl w:val="0"/>
        </w:rPr>
        <w:t xml:space="preserve">, achieving a production-ready environment with </w:t>
      </w:r>
      <w:r w:rsidDel="00000000" w:rsidR="00000000" w:rsidRPr="00000000">
        <w:rPr>
          <w:b w:val="1"/>
          <w:bCs w:val="1"/>
          <w:rtl w:val="0"/>
        </w:rPr>
        <w:t xml:space="preserve">zero downtime</w:t>
      </w:r>
      <w:r w:rsidDel="00000000" w:rsidR="00000000" w:rsidRPr="00000000">
        <w:rPr>
          <w:rtl w:val="0"/>
        </w:rPr>
        <w:t xml:space="preserve"> and securing </w:t>
      </w:r>
      <w:r w:rsidDel="00000000" w:rsidR="00000000" w:rsidRPr="00000000">
        <w:rPr>
          <w:b w:val="1"/>
          <w:bCs w:val="1"/>
          <w:rtl w:val="0"/>
        </w:rPr>
        <w:t xml:space="preserve">Amazon certification</w:t>
      </w:r>
      <w:r w:rsidDel="00000000" w:rsidR="00000000" w:rsidRPr="00000000">
        <w:rPr>
          <w:rtl w:val="0"/>
        </w:rPr>
        <w:t xml:space="preserve"> for reliability and design standards.</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Developed the complete SDLC framework</w:t>
      </w:r>
      <w:r w:rsidDel="00000000" w:rsidR="00000000" w:rsidRPr="00000000">
        <w:rPr>
          <w:rtl w:val="0"/>
        </w:rPr>
        <w:t xml:space="preserve">, including QA automation, release automation, and an integrated developer IDE, enabling efficient, consistent, and scalable delivery across teams.</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Led SOC/security compliance initiatives</w:t>
      </w:r>
      <w:r w:rsidDel="00000000" w:rsidR="00000000" w:rsidRPr="00000000">
        <w:rPr>
          <w:rtl w:val="0"/>
        </w:rPr>
        <w:t xml:space="preserve">, ensuring the platform met modern security standards, maintained up-to-date components, and adhered to industry best practices.</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Drove ongoing innovation and technical evolution</w:t>
      </w:r>
      <w:r w:rsidDel="00000000" w:rsidR="00000000" w:rsidRPr="00000000">
        <w:rPr>
          <w:rtl w:val="0"/>
        </w:rPr>
        <w:t xml:space="preserve">, including advanced work in</w:t>
      </w:r>
      <w:r w:rsidDel="00000000" w:rsidR="00000000" w:rsidRPr="00000000">
        <w:rPr>
          <w:b w:val="1"/>
          <w:bCs w:val="1"/>
          <w:rtl w:val="0"/>
        </w:rPr>
        <w:t xml:space="preserve"> automation</w:t>
      </w:r>
      <w:r w:rsidDel="00000000" w:rsidR="00000000" w:rsidRPr="00000000">
        <w:rPr>
          <w:rtl w:val="0"/>
        </w:rPr>
        <w:t xml:space="preserve">, architectural modernization, and future-state platform strategy.</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Architected and directed Penn River’s integration framework</w:t>
      </w:r>
      <w:r w:rsidDel="00000000" w:rsidR="00000000" w:rsidRPr="00000000">
        <w:rPr>
          <w:rtl w:val="0"/>
        </w:rPr>
        <w:t xml:space="preserve">, enabling scalable connections across multiple carriers and supporting system adaptability and growth.</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Led modernization efforts at InsPro</w:t>
      </w:r>
      <w:r w:rsidDel="00000000" w:rsidR="00000000" w:rsidRPr="00000000">
        <w:rPr>
          <w:rtl w:val="0"/>
        </w:rPr>
        <w:t xml:space="preserve"> for life &amp; annuity systems, designing architecture and strategy to transition legacy processing into modernized, maintainable solutions.</w:t>
        <w:br w:type="textWrapping"/>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Served five years as the technical lead for a major Oracle client (ING)</w:t>
      </w:r>
      <w:r w:rsidDel="00000000" w:rsidR="00000000" w:rsidRPr="00000000">
        <w:rPr>
          <w:rtl w:val="0"/>
        </w:rPr>
        <w:t xml:space="preserve">, overseeing solution architecture, platform enhancement, and production support for enterprise life &amp; annuity systems.</w:t>
        <w:br w:type="textWrapping"/>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Architected Oracle’s accounting solution</w:t>
      </w:r>
      <w:r w:rsidDel="00000000" w:rsidR="00000000" w:rsidRPr="00000000">
        <w:rPr>
          <w:rtl w:val="0"/>
        </w:rPr>
        <w:t xml:space="preserve"> for policy administration, delivering core financial-processing capabilities used by large carriers.</w:t>
        <w:br w:type="textWrapping"/>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Brings over 20 years of life &amp; annuity industry expertise</w:t>
      </w:r>
      <w:r w:rsidDel="00000000" w:rsidR="00000000" w:rsidRPr="00000000">
        <w:rPr>
          <w:rtl w:val="0"/>
        </w:rPr>
        <w:t xml:space="preserve">, combining deep product knowledge (variable, fixed, indexed annuities; UL, VUL, IUL, etc.) with strong technical architecture and insurance-operations integration; experienced working with actuarial tools and consulting with multiple carriers.</w:t>
        <w:br w:type="textWrapping"/>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b w:val="1"/>
          <w:bCs w:val="1"/>
          <w:rtl w:val="0"/>
        </w:rPr>
        <w:t xml:space="preserve">Has written core policy administration software from the ground up twice</w:t>
      </w:r>
      <w:r w:rsidDel="00000000" w:rsidR="00000000" w:rsidRPr="00000000">
        <w:rPr>
          <w:rtl w:val="0"/>
        </w:rPr>
        <w:t xml:space="preserve">, with hands-on experience across multiple PAS vendors and technology stacks.</w:t>
      </w:r>
    </w:p>
    <w:p w:rsidR="00000000" w:rsidDel="00000000" w:rsidP="00000000" w:rsidRDefault="00000000" w:rsidRPr="00000000" w14:paraId="00000014">
      <w:pPr>
        <w:pStyle w:val="Heading1"/>
        <w:rPr/>
      </w:pPr>
      <w:bookmarkStart w:colFirst="0" w:colLast="0" w:name="_79rycfm2b5xw" w:id="2"/>
      <w:bookmarkEnd w:id="2"/>
      <w:r w:rsidDel="00000000" w:rsidR="00000000" w:rsidRPr="00000000">
        <w:rPr>
          <w:rtl w:val="0"/>
        </w:rPr>
        <w:t xml:space="preserve">PROFESSIONAL EXPERIENCE</w:t>
      </w:r>
    </w:p>
    <w:p w:rsidR="00000000" w:rsidDel="00000000" w:rsidP="00000000" w:rsidRDefault="00000000" w:rsidRPr="00000000" w14:paraId="00000015">
      <w:pPr>
        <w:pStyle w:val="Heading2"/>
        <w:rPr/>
      </w:pPr>
      <w:bookmarkStart w:colFirst="0" w:colLast="0" w:name="_oskvm4slgswh" w:id="3"/>
      <w:bookmarkEnd w:id="3"/>
      <w:r w:rsidDel="00000000" w:rsidR="00000000" w:rsidRPr="00000000">
        <w:rPr>
          <w:rtl w:val="0"/>
        </w:rPr>
        <w:t xml:space="preserve">Chief Technology Officer / Co-Founder</w:t>
      </w:r>
    </w:p>
    <w:p w:rsidR="00000000" w:rsidDel="00000000" w:rsidP="00000000" w:rsidRDefault="00000000" w:rsidRPr="00000000" w14:paraId="00000016">
      <w:pPr>
        <w:rPr/>
      </w:pPr>
      <w:r w:rsidDel="00000000" w:rsidR="00000000" w:rsidRPr="00000000">
        <w:rPr>
          <w:b w:val="1"/>
          <w:bCs w:val="1"/>
          <w:rtl w:val="0"/>
        </w:rPr>
        <w:t xml:space="preserve">Penn River Inc</w:t>
      </w:r>
      <w:r w:rsidDel="00000000" w:rsidR="00000000" w:rsidRPr="00000000">
        <w:rPr>
          <w:rtl w:val="0"/>
        </w:rPr>
        <w:t xml:space="preserve">, Philadelphia, PA | May 2019 – November 2025</w:t>
      </w:r>
    </w:p>
    <w:p w:rsidR="00000000" w:rsidDel="00000000" w:rsidP="00000000" w:rsidRDefault="00000000" w:rsidRPr="00000000" w14:paraId="00000017">
      <w:pPr>
        <w:ind w:left="0" w:firstLine="0"/>
        <w:rPr/>
      </w:pPr>
      <w:r w:rsidDel="00000000" w:rsidR="00000000" w:rsidRPr="00000000">
        <w:rPr>
          <w:rtl w:val="0"/>
        </w:rPr>
        <w:t xml:space="preserve">Cloud infrastructure and engineering executive for Penn River’s life and annuity SaaS policy administration platform, co-authoring the core system and setting its long-term architecture, infrastructure, and technical direction. Led the design and implementation of a fully AWS‑native, production‑grade environment with zero downtime, achieving Amazon cloud certification and instituting SOC‑aligned security and compliance practices. Built and scaled the engineering organization from inception, establishing SDLC, QA and release automation, integration frameworks, and development standards that enabled consistent, secure, and high‑velocity delivery across multiple carriers and product lines.</w:t>
      </w:r>
    </w:p>
    <w:p w:rsidR="00000000" w:rsidDel="00000000" w:rsidP="00000000" w:rsidRDefault="00000000" w:rsidRPr="00000000" w14:paraId="00000018">
      <w:pPr>
        <w:pStyle w:val="Heading2"/>
        <w:rPr/>
      </w:pPr>
      <w:bookmarkStart w:colFirst="0" w:colLast="0" w:name="_q4yx45dgtph5" w:id="4"/>
      <w:bookmarkEnd w:id="4"/>
      <w:r w:rsidDel="00000000" w:rsidR="00000000" w:rsidRPr="00000000">
        <w:rPr>
          <w:rtl w:val="0"/>
        </w:rPr>
        <w:t xml:space="preserve">Senior Architect / Co-Founder</w:t>
      </w:r>
    </w:p>
    <w:p w:rsidR="00000000" w:rsidDel="00000000" w:rsidP="00000000" w:rsidRDefault="00000000" w:rsidRPr="00000000" w14:paraId="00000019">
      <w:pPr>
        <w:rPr/>
      </w:pPr>
      <w:r w:rsidDel="00000000" w:rsidR="00000000" w:rsidRPr="00000000">
        <w:rPr>
          <w:b w:val="1"/>
          <w:bCs w:val="1"/>
          <w:rtl w:val="0"/>
        </w:rPr>
        <w:t xml:space="preserve">Penn Assurance Software Inc</w:t>
      </w:r>
      <w:r w:rsidDel="00000000" w:rsidR="00000000" w:rsidRPr="00000000">
        <w:rPr>
          <w:rtl w:val="0"/>
        </w:rPr>
        <w:t xml:space="preserve">, Philadelphia, PA | March 2012 – May 2019</w:t>
      </w:r>
    </w:p>
    <w:p w:rsidR="00000000" w:rsidDel="00000000" w:rsidP="00000000" w:rsidRDefault="00000000" w:rsidRPr="00000000" w14:paraId="0000001A">
      <w:pPr>
        <w:rPr/>
      </w:pPr>
      <w:r w:rsidDel="00000000" w:rsidR="00000000" w:rsidRPr="00000000">
        <w:rPr>
          <w:rtl w:val="0"/>
        </w:rPr>
        <w:t xml:space="preserve">Modernization and solution architecture leader for major insurance carriers, driving large-scale platform upgrades and performance improvements. Spearheaded migrations from legacy WebSphere/Java 1.4 to JBoss/Java 1.8 for clients like Genworth and Securian, cutting operational cycle times by roughly 50%. Pioneered early containerization with Docker, continuous integration, and automated migration tooling, while leading cross-functional agile teams to advance test automation, reusable architectures, and database optimization.</w:t>
      </w:r>
    </w:p>
    <w:p w:rsidR="00000000" w:rsidDel="00000000" w:rsidP="00000000" w:rsidRDefault="00000000" w:rsidRPr="00000000" w14:paraId="0000001B">
      <w:pPr>
        <w:pStyle w:val="Heading2"/>
        <w:rPr/>
      </w:pPr>
      <w:bookmarkStart w:colFirst="0" w:colLast="0" w:name="_i9whmw9xyd3z" w:id="5"/>
      <w:bookmarkEnd w:id="5"/>
      <w:r w:rsidDel="00000000" w:rsidR="00000000" w:rsidRPr="00000000">
        <w:rPr>
          <w:rtl w:val="0"/>
        </w:rPr>
        <w:t xml:space="preserve">Solution Architect</w:t>
      </w:r>
    </w:p>
    <w:p w:rsidR="00000000" w:rsidDel="00000000" w:rsidP="00000000" w:rsidRDefault="00000000" w:rsidRPr="00000000" w14:paraId="0000001C">
      <w:pPr>
        <w:rPr/>
      </w:pPr>
      <w:r w:rsidDel="00000000" w:rsidR="00000000" w:rsidRPr="00000000">
        <w:rPr>
          <w:b w:val="1"/>
          <w:bCs w:val="1"/>
          <w:rtl w:val="0"/>
        </w:rPr>
        <w:t xml:space="preserve">Axis Capital</w:t>
      </w:r>
      <w:r w:rsidDel="00000000" w:rsidR="00000000" w:rsidRPr="00000000">
        <w:rPr>
          <w:rtl w:val="0"/>
        </w:rPr>
        <w:t xml:space="preserve">, Princeton, NJ | October 2011 – March 2012</w:t>
      </w:r>
    </w:p>
    <w:p w:rsidR="00000000" w:rsidDel="00000000" w:rsidP="00000000" w:rsidRDefault="00000000" w:rsidRPr="00000000" w14:paraId="0000001D">
      <w:pPr>
        <w:ind w:left="0" w:firstLine="0"/>
        <w:rPr/>
      </w:pPr>
      <w:r w:rsidDel="00000000" w:rsidR="00000000" w:rsidRPr="00000000">
        <w:rPr>
          <w:rtl w:val="0"/>
        </w:rPr>
        <w:t xml:space="preserve">Solution architect for multi-vendor insurance platforms, designing and delivering distributed integrations across Oracle OIPA, .NET, and TIBCO services. Led cross-team solution design for complex policy workflows, improving interoperability and end-to-end processing efficiency.</w:t>
      </w:r>
    </w:p>
    <w:p w:rsidR="00000000" w:rsidDel="00000000" w:rsidP="00000000" w:rsidRDefault="00000000" w:rsidRPr="00000000" w14:paraId="0000001E">
      <w:pPr>
        <w:pStyle w:val="Heading2"/>
        <w:rPr/>
      </w:pPr>
      <w:bookmarkStart w:colFirst="0" w:colLast="0" w:name="_e5l8am3og2t3" w:id="6"/>
      <w:bookmarkEnd w:id="6"/>
      <w:r w:rsidDel="00000000" w:rsidR="00000000" w:rsidRPr="00000000">
        <w:rPr>
          <w:rtl w:val="0"/>
        </w:rPr>
        <w:t xml:space="preserve">Technical Lead</w:t>
      </w:r>
    </w:p>
    <w:p w:rsidR="00000000" w:rsidDel="00000000" w:rsidP="00000000" w:rsidRDefault="00000000" w:rsidRPr="00000000" w14:paraId="0000001F">
      <w:pPr>
        <w:rPr/>
      </w:pPr>
      <w:r w:rsidDel="00000000" w:rsidR="00000000" w:rsidRPr="00000000">
        <w:rPr>
          <w:b w:val="1"/>
          <w:bCs w:val="1"/>
          <w:rtl w:val="0"/>
        </w:rPr>
        <w:t xml:space="preserve">Equisoft</w:t>
      </w:r>
      <w:r w:rsidDel="00000000" w:rsidR="00000000" w:rsidRPr="00000000">
        <w:rPr>
          <w:rtl w:val="0"/>
        </w:rPr>
        <w:t xml:space="preserve"> (and prior as Oracle/AdminServer), Ambler/Chester, PA | 2004 – 2011</w:t>
      </w:r>
    </w:p>
    <w:p w:rsidR="00000000" w:rsidDel="00000000" w:rsidP="00000000" w:rsidRDefault="00000000" w:rsidRPr="00000000" w14:paraId="00000020">
      <w:pPr>
        <w:ind w:left="0" w:firstLine="0"/>
        <w:rPr/>
      </w:pPr>
      <w:r w:rsidDel="00000000" w:rsidR="00000000" w:rsidRPr="00000000">
        <w:rPr>
          <w:rtl w:val="0"/>
        </w:rPr>
        <w:t xml:space="preserve">Solution and integration architect for global insurers, designing and delivering OIPA-based policy administration solutions for clients including MetLife, ING, and Marsh. Managed complex data migrations, integrations, and multilingual requirements for large-scale international deployments while leading technical reviews and knowledge transfer across distributed teams.</w:t>
      </w:r>
    </w:p>
    <w:p w:rsidR="00000000" w:rsidDel="00000000" w:rsidP="00000000" w:rsidRDefault="00000000" w:rsidRPr="00000000" w14:paraId="00000021">
      <w:pPr>
        <w:pStyle w:val="Heading1"/>
        <w:rPr/>
      </w:pPr>
      <w:bookmarkStart w:colFirst="0" w:colLast="0" w:name="_2ygvk7xyw210" w:id="7"/>
      <w:bookmarkEnd w:id="7"/>
      <w:r w:rsidDel="00000000" w:rsidR="00000000" w:rsidRPr="00000000">
        <w:rPr>
          <w:rtl w:val="0"/>
        </w:rPr>
        <w:t xml:space="preserve">EDUCATION</w:t>
      </w:r>
    </w:p>
    <w:p w:rsidR="00000000" w:rsidDel="00000000" w:rsidP="00000000" w:rsidRDefault="00000000" w:rsidRPr="00000000" w14:paraId="00000022">
      <w:pPr>
        <w:rPr/>
      </w:pPr>
      <w:r w:rsidDel="00000000" w:rsidR="00000000" w:rsidRPr="00000000">
        <w:rPr>
          <w:b w:val="1"/>
          <w:bCs w:val="1"/>
          <w:rtl w:val="0"/>
        </w:rPr>
        <w:t xml:space="preserve">B.S., Computer Science</w:t>
      </w:r>
      <w:r w:rsidDel="00000000" w:rsidR="00000000" w:rsidRPr="00000000">
        <w:rPr>
          <w:rtl w:val="0"/>
        </w:rPr>
        <w:t xml:space="preserve"> West Chester University, PA Outstanding Scholarship Award, GPA: 3.43</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