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AI/ML Solutions Architect — Agentic Systems, RAG, LLM Evaluation &amp; Production MLOps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ercb7kxlmwb_m6wlwkdpb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rc-qbrvfqec3qr1fuj_kz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wszgc52k_vn7pqfyvxz0l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aswzveqeguc1ed_1xdyyj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Builds production agentic and LLM systems end to end: multi-agent orchestration, RAG, tool-calling guardrails, fine-tuning, and evaluation harnesses that independently re-run agent output. GCP-native data engineering background (BigQuery, ETL orchestration, dashboards) — comfortable teaching technical concepts to technical and non-technical audiences.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Multi-Agent Orchestration &amp; Independent Verification</w:t>
      </w:r>
      <w:r>
        <w:rPr>
          <w:color w:val="1E293B"/>
          <w:sz w:val="16"/>
          <w:szCs w:val="16"/>
        </w:rPr>
        <w:t xml:space="preserve"> · </w:t>
      </w:r>
      <w:hyperlink w:history="1" r:id="rIdvqtoxliuaqpa1zjpmzhhj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audit ledgers intact; 2,592 tool calls across phase 1–2.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Verification: 195/224 agent-written tests passing on independent re-run; 22/25 numerical claims verified exact; 0 oracle violations across 1,254 tool calls; 0 of 2 self-assessing agents overclaiming.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209 artifacts (4.1 MB), including 182 reports and 158 Python engines.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Matching, Scoring &amp; Human-in-the-Loop Review</w:t>
      </w:r>
      <w:r>
        <w:rPr>
          <w:color w:val="1E293B"/>
          <w:sz w:val="16"/>
          <w:szCs w:val="16"/>
        </w:rPr>
        <w:t xml:space="preserve"> · </w:t>
      </w:r>
      <w:hyperlink w:history="1" r:id="rIdxzcrb_ujianpmaj0s0lje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7,533 jobs / 5,784 distinct roles sourced (7,549 jobs latest run; 188 in the last 24h); 1,864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22,647 match scores computed with 0 model calls against a score threshold of 65 → 274 matches above threshold.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Guardrails: anti-fabrication guard catches 8/8 seeded fabrications; 11 review invariants all fire when violated, 0 failures; 12 outreach drafts verified,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· </w:t>
      </w:r>
      <w:hyperlink w:history="1" r:id="rIdgpx_vdm99x-5ehvy8b1kz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FastMCP Tooling &amp;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agents, 15+ MCP tools and 5 resources, 83.4% fitness score, living memory bounded at &lt;4,000 words.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Awakening: 1,441 autonomous turns, 1,553 commits, and a 330-turn API blackout sustained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LLM Fine-Tuning &amp; Evaluation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 fine-tuning of GPT-OSS-20B on AMD MI300X: 76.5% vs 25.5% baseline (+51%), with bias quantification and steerability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</w:t>
      </w:r>
      <w:r>
        <w:rPr>
          <w:color w:val="1E293B"/>
          <w:sz w:val="16"/>
          <w:szCs w:val="16"/>
        </w:rPr>
        <w:t xml:space="preserve"> — 18,000+ candidates across 59 colleges; validation within 73 ranks of cutoff; 90.6% compression. </w:t>
      </w:r>
      <w:r>
        <w:rPr>
          <w:b/>
          <w:bCs/>
          <w:color w:val="1E293B"/>
          <w:sz w:val="16"/>
          <w:szCs w:val="16"/>
        </w:rPr>
        <w:t xml:space="preserve">pRash</w:t>
      </w:r>
      <w:r>
        <w:rPr>
          <w:color w:val="1E293B"/>
          <w:sz w:val="16"/>
          <w:szCs w:val="16"/>
        </w:rPr>
        <w:t xml:space="preserve"> — 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 &amp; Cloud: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Scheduled Queries, GCP, Cloud Run, Docker, GitHub Actions, Python (PyTorch, Pandas, NumPy, FastAPI), SQL, TypeScript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maintain data and AI systems on GCP: ETL orchestration, Cloud Run services, SQL data modeling, and dashboards for recurring client reporting.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Delivered 18 ETL pipelines and 15+ enterprise dashboards; authored 30+ client reports using BigQuery, Looker Studio,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M. Pharmacy (Pharmaceutical Analysis &amp; QA)</w:t>
      </w:r>
      <w:r>
        <w:rPr>
          <w:color w:val="1E293B"/>
          <w:sz w:val="16"/>
          <w:szCs w:val="16"/>
        </w:rPr>
        <w:t xml:space="preserve"> —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rcb7kxlmwb_m6wlwkdpb" Type="http://schemas.openxmlformats.org/officeDocument/2006/relationships/hyperlink" Target="https://kprsnt.in" TargetMode="External"/><Relationship Id="rIdrc-qbrvfqec3qr1fuj_kz" Type="http://schemas.openxmlformats.org/officeDocument/2006/relationships/hyperlink" Target="https://github.com/kprsnt2" TargetMode="External"/><Relationship Id="rIdwszgc52k_vn7pqfyvxz0l" Type="http://schemas.openxmlformats.org/officeDocument/2006/relationships/hyperlink" Target="https://huggingface.co/kprsnt" TargetMode="External"/><Relationship Id="rIdaswzveqeguc1ed_1xdyyj" Type="http://schemas.openxmlformats.org/officeDocument/2006/relationships/hyperlink" Target="https://linkedin.com/in/prashanth-kumar-kadasi-b5281765" TargetMode="External"/><Relationship Id="rIdvqtoxliuaqpa1zjpmzhhj" Type="http://schemas.openxmlformats.org/officeDocument/2006/relationships/hyperlink" Target="https://agent.kprsnt.in" TargetMode="External"/><Relationship Id="rIdxzcrb_ujianpmaj0s0lje" Type="http://schemas.openxmlformats.org/officeDocument/2006/relationships/hyperlink" Target="https://job.kprsnt.in" TargetMode="External"/><Relationship Id="rIdgpx_vdm99x-5ehvy8b1kz" Type="http://schemas.openxmlformats.org/officeDocument/2006/relationships/hyperlink" Target="https://bug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2026-10-24T04:48:54.321Z</dcterms:created>
  <dcterms:modified xsi:type="dcterms:W3CDTF">2026-10-24T04:48:54.321Z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