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Software Engineer — Machine Learning Infrastructure, Generative AI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s9_unwb3ginmggpkilvkl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_8dqdjm0glohebch4pqb">
        <w:r>
          <w:rPr>
            <w:color w:val="475569"/>
            <w:sz w:val="15"/>
            <w:szCs w:val="15"/>
            <w:u w:val="single"/>
          </w:rPr>
          <w:t xml:space="preserve">github.com/kprsnt2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mg_s5f65f6tfcgx1qc5d1">
        <w:r>
          <w:rPr>
            <w:color w:val="475569"/>
            <w:sz w:val="15"/>
            <w:szCs w:val="15"/>
            <w:u w:val="single"/>
          </w:rPr>
          <w:t xml:space="preserve">huggingface.co/kprsnt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v0vi8mvrant19ojkxzdo">
        <w:r>
          <w:rPr>
            <w:color w:val="475569"/>
            <w:sz w:val="15"/>
            <w:szCs w:val="15"/>
            <w:u w:val="single"/>
          </w:rPr>
          <w:t xml:space="preserve">linkedin.com/in/prashanth-kumar-kadasi-b5281765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Engineer focused on production Generative AI infrastructure: open-weight LLM serving and LoRA/QLoRA fine-tuning, agentic runtimes, MCP tool surfaces, evaluation harnesses, guardrails, and cost-attributed batch pipelines. Ships systems end-to-end — architecture, observability, CI integrity, cost/latency optimization — and uses AI coding tools across the full software development lifecycle.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 &amp; Data: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d9qwnlerrfwpnkudl8t9p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BigQuery, Looker Studio, Tableau, ETL Orchestration, Data Modeling, Data Quality &amp; Validation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Infra &amp; Platforms:</w:t>
      </w:r>
      <w:r>
        <w:rPr>
          <w:color w:val="1E293B"/>
          <w:sz w:val="16"/>
          <w:szCs w:val="16"/>
        </w:rPr>
        <w:t xml:space="preserve"> GCP, Cloud Run, Docker, GitHub Actions, Linux/Bash, Git,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open-weight model fine-tuning &amp; evaluation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Fine-tuned and evaluated GPT-OSS-20B on AMD MI300X with LoRA/QLoRA; lifted task success to 76.5%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Built multi-model A/B evaluation, bias quantification, and independent verifier design for model steerability.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agent evaluation harness &amp; audit infrastructure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 with 32/32 hash-chained ledgers intact; 2,592 tool calls,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Agent-written tests 195/224 passing on independent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Numerical audit verified 22/25 claims exact; generated 182 reports and 158 Python engines. Live: </w:t>
      </w:r>
      <w:hyperlink w:history="1" r:id="rIdovmkpzrd7sywclcccy97p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bounded long-horizon agent runtime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330-turn API blackout absorbed with 100% CI integrity.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Living memory compaction bounded under 4,000 words; human-in-the-loop escalation and scope guardrails.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 platform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10-agent swarm over 15+ MCP tools and 5 resources; 83.4% platform fitness score.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data pipelines &amp; automation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/ 5,784 distinct roles (latest run 7,549); collapsed 1,864 duplicate postings; 22,647 match scores computed with 0 model calls.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fire when violated with 0 failures; 12 outreach drafts verified, 0 rejected. Live: </w:t>
      </w:r>
      <w:hyperlink w:history="1" r:id="rIdrovbxrzh_3ovsc-g7xnyh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  <w:r>
        <w:rPr>
          <w:color w:val="1E293B"/>
          <w:sz w:val="16"/>
          <w:szCs w:val="16"/>
        </w:rPr>
        <w:t xml:space="preserve">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 harness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/ 3,156 tool calls on $0.067 of a $50 budget cap; 8/8 harness tests pass; 3 submission-ready vulnerability reports (two High).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pRash — coding-substrate benchmark</w:t>
      </w:r>
      <w:r>
        <w:rPr>
          <w:color w:val="1E293B"/>
          <w:sz w:val="16"/>
          <w:szCs w:val="16"/>
        </w:rPr>
        <w:t xml:space="preserve"> </w:t>
      </w:r>
      <w:r>
        <w:rPr>
          <w:i/>
          <w:iCs/>
          <w:color w:val="1E293B"/>
          <w:sz w:val="16"/>
          <w:szCs w:val="16"/>
        </w:rPr>
        <w:t xml:space="preserve">(independent)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Benchmarked 6 autonomous coding CLIs across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engineering and analytics delivery across these roles: 18 ETL pipelines, 15+ enterprise dashboards, 30+ client reports.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9_unwb3ginmggpkilvkl" Type="http://schemas.openxmlformats.org/officeDocument/2006/relationships/hyperlink" Target="https://kprsnt.in" TargetMode="External"/><Relationship Id="rIdk_8dqdjm0glohebch4pqb" Type="http://schemas.openxmlformats.org/officeDocument/2006/relationships/hyperlink" Target="https://github.com/kprsnt2" TargetMode="External"/><Relationship Id="rIdmg_s5f65f6tfcgx1qc5d1" Type="http://schemas.openxmlformats.org/officeDocument/2006/relationships/hyperlink" Target="https://huggingface.co/kprsnt" TargetMode="External"/><Relationship Id="rIdkv0vi8mvrant19ojkxzdo" Type="http://schemas.openxmlformats.org/officeDocument/2006/relationships/hyperlink" Target="https://linkedin.com/in/prashanth-kumar-kadasi-b5281765" TargetMode="External"/><Relationship Id="rIdd9qwnlerrfwpnkudl8t9p" Type="http://schemas.openxmlformats.org/officeDocument/2006/relationships/hyperlink" Target="https://Node.js" TargetMode="External"/><Relationship Id="rIdovmkpzrd7sywclcccy97p" Type="http://schemas.openxmlformats.org/officeDocument/2006/relationships/hyperlink" Target="https://agent.kprsnt.in" TargetMode="External"/><Relationship Id="rIdrovbxrzh_3ovsc-g7xnyh" Type="http://schemas.openxmlformats.org/officeDocument/2006/relationships/hyperlink" Target="https://job.kprsnt.in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2026-10-24T04:48:58.690Z</dcterms:created>
  <dcterms:modified xsi:type="dcterms:W3CDTF">2026-10-24T04:48:58.690Z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