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Platform Engineer — MCP Servers, Multi-Agent Orchestration, Python/FastAPI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p5xevg9tmdfnk6z3c3yo7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_7z0yszgvau_gknjkbmf9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3vutpyf8b2bxtgxkdinh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l3og4yaza2jff4u5ebyyr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Platform engineer who ships agentic systems: MCP servers, multi-agent swarms, and long-horizon agent CI/CD. Runs multiple coding agents in parallel, reviews their output critically, and owns every line that reaches production. Python/FastAPI and TypeScript; GCP, Docker, GitHub Actions.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Harness.</w:t>
      </w:r>
      <w:r>
        <w:rPr>
          <w:color w:val="1E293B"/>
          <w:sz w:val="16"/>
          <w:szCs w:val="16"/>
        </w:rPr>
        <w:t xml:space="preserve"> 32 verified runs, 2,592 tool calls, 195/224 agent-written tests passing on independent re-run, 32/32 hash chains intact, 0 oracle violations across 1,254 tool calls, 0 of 2 self-assessing agents overclaimed, 209 artifacts (4.1 MB). Live arena: </w:t>
      </w:r>
      <w:hyperlink w:history="1" r:id="rIdzhinemd1xdakv6acwj_uw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Pipeline in Production.</w:t>
      </w:r>
      <w:r>
        <w:rPr>
          <w:color w:val="1E293B"/>
          <w:sz w:val="16"/>
          <w:szCs w:val="16"/>
        </w:rPr>
        <w:t xml:space="preserve"> 7,533 jobs / 5,784 distinct roles sourced; 22,647 match scores computed with 0 model calls; score threshold 65 with 274 matches above it; 1,864 duplicate postings merged; anti-fabrication guard catches 8/8 seeded fabrications; 11 review invariants all fire when violated with 0 failures; 12/12 outreach drafts pass review. Live dashboard: </w:t>
      </w:r>
      <w:hyperlink w:history="1" r:id="rId6rrzgwzjgyfzvkwbyhhsr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Server and Swarm.</w:t>
      </w:r>
      <w:r>
        <w:rPr>
          <w:color w:val="1E293B"/>
          <w:sz w:val="16"/>
          <w:szCs w:val="16"/>
        </w:rPr>
        <w:t xml:space="preserve"> 10 swarm agents; 15+ MCP (Model Context Protocol) tools and 5 resources; fitness score 83.4%; living memory bounded to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Autonomy.</w:t>
      </w:r>
      <w:r>
        <w:rPr>
          <w:color w:val="1E293B"/>
          <w:sz w:val="16"/>
          <w:szCs w:val="16"/>
        </w:rPr>
        <w:t xml:space="preserve"> 1,441 autonomous turns and 1,553 commits; sustained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Research.</w:t>
      </w:r>
      <w:r>
        <w:rPr>
          <w:color w:val="1E293B"/>
          <w:sz w:val="16"/>
          <w:szCs w:val="16"/>
        </w:rPr>
        <w:t xml:space="preserve"> 53 turns, 3,156 tool calls, $0.067 of a $50 cap; 8/8 harness tests pass; 34 filter refusals before promotion; 3 submission-ready vulnerability reports (two High). Live site: </w:t>
      </w:r>
      <w:hyperlink w:history="1" r:id="rId7mciow1txhvhjgmf5wpre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and Evaluation.</w:t>
      </w:r>
      <w:r>
        <w:rPr>
          <w:color w:val="1E293B"/>
          <w:sz w:val="16"/>
          <w:szCs w:val="16"/>
        </w:rPr>
        <w:t xml:space="preserve"> GPT-OSS-20B on AMD MI300X; 76.5% lift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/ pRash.</w:t>
      </w:r>
      <w:r>
        <w:rPr>
          <w:color w:val="1E293B"/>
          <w:sz w:val="16"/>
          <w:szCs w:val="16"/>
        </w:rPr>
        <w:t xml:space="preserve"> mSeat: 18,000+ candidates across 59 colleges, within 73 ranks of cutoff, 90.6% compression. pRash: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ETL pipelines and enterprise dashboards on GCP (BigQuery, Looker Studio, Tableau) with data quality and validation checks.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Work with GPT-OSS 120B and 20B models inside analytics workflows.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data and ran scheduled queries, BigQuery Notebook, and Google Apps Script automation.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l8f5d-8mmzfeeumnz1ih8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5xevg9tmdfnk6z3c3yo7" Type="http://schemas.openxmlformats.org/officeDocument/2006/relationships/hyperlink" Target="https://kprsnt.in" TargetMode="External"/><Relationship Id="rId_7z0yszgvau_gknjkbmf9" Type="http://schemas.openxmlformats.org/officeDocument/2006/relationships/hyperlink" Target="https://github.com/kprsnt2" TargetMode="External"/><Relationship Id="rIdh3vutpyf8b2bxtgxkdinh" Type="http://schemas.openxmlformats.org/officeDocument/2006/relationships/hyperlink" Target="https://huggingface.co/kprsnt" TargetMode="External"/><Relationship Id="rIdl3og4yaza2jff4u5ebyyr" Type="http://schemas.openxmlformats.org/officeDocument/2006/relationships/hyperlink" Target="https://linkedin.com/in/prashanth-kumar-kadasi-b5281765" TargetMode="External"/><Relationship Id="rIdzhinemd1xdakv6acwj_uw" Type="http://schemas.openxmlformats.org/officeDocument/2006/relationships/hyperlink" Target="https://agent.kprsnt.in" TargetMode="External"/><Relationship Id="rId6rrzgwzjgyfzvkwbyhhsr" Type="http://schemas.openxmlformats.org/officeDocument/2006/relationships/hyperlink" Target="https://job.kprsnt.in" TargetMode="External"/><Relationship Id="rId7mciow1txhvhjgmf5wpre" Type="http://schemas.openxmlformats.org/officeDocument/2006/relationships/hyperlink" Target="https://bug.kprsnt.in" TargetMode="External"/><Relationship Id="rIdl8f5d-8mmzfeeumnz1ih8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2026-10-24T04:49:11.890Z</dcterms:created>
  <dcterms:modified xsi:type="dcterms:W3CDTF">2026-10-24T04:49:11.890Z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