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Analytics Engineer — Data Modeling, Pipelines &amp; AI-Readable Warehouses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9mtvedeshy-olg2lprmni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778lj-m2pzgqry07qtahr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zsdmov_kdibmshr4r10pk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Data analyst and AI systems builder who owns pipelines end to end: modeling, orchestration, validation, and the metadata that makes a warehouse legible to analysts and AI agents alike. Delivered 18 ETL pipelines, 15+ enterprise dashboards, and 30+ client reports.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 18 ETL pipelines (Python, SQL, BigQuery, Docker, GitHub Actions), moving client data into modeled warehouse tables with documented schemas, lineage, and naming standards.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 15+ enterprise dashboards in Looker Studio and SQLite-backed marts plus 30+ client reports; turn ambiguous stakeholder requests into reusable models and defined metrics.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Run data quality and validation gates before anything reaches a stakeholder, with hash-chained audit ledgers for lineage and reviewability.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AI-native workflow: MCP tooling and Python automation for documentation, QA, and repetitive maintenance.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maintained production SQL models and reporting pipelines for recurring client analytics; debugged and improved them as requirements and source systems changed.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Partnered with stakeholders to define metrics, validate results, and standardize Google Sheets automation and data validation checks.</w:t>
      </w:r>
    </w:p>
    <w:p>
      <w:pPr>
        <w:spacing w:after="50"/>
      </w:pPr>
      <w:r>
        <w:rPr>
          <w:color w:val="1E293B"/>
          <w:sz w:val="16"/>
          <w:szCs w:val="16"/>
        </w:rPr>
        <w:t xml:space="preserve">Education: M. Pharmacy (Pharmaceutical Analysis &amp; QA), JNTUH, May 2012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Autonomous Job Intelligence Pipeline</w:t>
      </w:r>
      <w:r>
        <w:rPr>
          <w:color w:val="1E293B"/>
          <w:sz w:val="16"/>
          <w:szCs w:val="16"/>
        </w:rPr>
        <w:t xml:space="preserve"> · </w:t>
      </w:r>
      <w:hyperlink w:history="1" r:id="rIdxw0zbe4hzgrzz8iky3-cz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across 5,784 distinct roles, collapsed 1,864 duplicate postings, and computed 22,647 match scores with 0 model calls; 274 matches above a score threshold of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 quality as code: anti-fabrication guard catches 8/8 seeded fabrications; 11 review invariants all fire when violated, 0 failures.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Human-in-the-loop escalation: 12 outreach drafts, 12 pass review, 0 rejected.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Evaluation Harness</w:t>
      </w:r>
      <w:r>
        <w:rPr>
          <w:color w:val="1E293B"/>
          <w:sz w:val="16"/>
          <w:szCs w:val="16"/>
        </w:rPr>
        <w:t xml:space="preserve"> · </w:t>
      </w:r>
      <w:hyperlink w:history="1" r:id="rIdelsxv9pj6ldjbcwqhwobq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32/32 hash chains intact, 2,592 tool calls;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195/224 agent-written tests passing on independent re-run; 22/25 numerical claims verified exact; 209 artifacts (4.1 MB).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Admissions Data Pipeline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Modeled and validated 18,000+ candidates across 59 colleges; predictions within 73 ranks of cutoff; 90.6% data compression.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Code Review</w:t>
      </w:r>
      <w:r>
        <w:rPr>
          <w:color w:val="1E293B"/>
          <w:sz w:val="16"/>
          <w:szCs w:val="16"/>
        </w:rPr>
        <w:t xml:space="preserve"> · </w:t>
      </w:r>
      <w:hyperlink w:history="1" r:id="rIdfg6av2gw3zydx-3ngevrg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High) from 53 turns / 3,156 tool calls at $0.067 of a $50 cap; 8/8 harness tests pass; 34 filter refusals before promotion.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· Awakening · BrandXY · pRash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AI Eco: 10 swarm agents, 15+ MCP tools and 5 resources, 83.4% fitness score, living memory bounded under 4,000 words.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Awakening: 1,441 autonomous turns, 1,553 commits; sustained 330 turns through an API blackout at 100% CI integrity.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BrandXY: LoRA fine-tune of GPT-OSS-20B on AMD MI300X, 76.5% vs 25.5% baseline (+51%).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pRash: benchmarked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SQL, Data Modeling, ETL Orchestration, Data Quality &amp; Validation, BigQuery, Looker Studio, SQLite, Google Sheets Automation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TypeScript, JavaScript, </w:t>
      </w:r>
      <w:hyperlink w:history="1" r:id="rIdxrb62ehsxciifzjbs-cfl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SQL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FastMCP (MCP), Multi-Agent Swarms, Tool/Function Calling, RAG, Living Memory Compaction, Human-in-the-Loop Escalation,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Multi-Model A/B Evaluation, Independent Verifier Design, Prompt Engineering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Docker, GitHub Actions, GCP,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GPT-OSS 120B/20B, Claude 4.x, Gemini 2.5/3.x, DeepSeek 4.1, Ollama, NVIDIA NIM, OpenRouter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9mtvedeshy-olg2lprmni" Type="http://schemas.openxmlformats.org/officeDocument/2006/relationships/hyperlink" Target="https://kprsnt.in" TargetMode="External"/><Relationship Id="rId778lj-m2pzgqry07qtahr" Type="http://schemas.openxmlformats.org/officeDocument/2006/relationships/hyperlink" Target="https://github.com/kprsnt2" TargetMode="External"/><Relationship Id="rIdzsdmov_kdibmshr4r10pk" Type="http://schemas.openxmlformats.org/officeDocument/2006/relationships/hyperlink" Target="https://linkedin.com/in/prashanth-kumar-kadasi-b5281765" TargetMode="External"/><Relationship Id="rIdxw0zbe4hzgrzz8iky3-cz" Type="http://schemas.openxmlformats.org/officeDocument/2006/relationships/hyperlink" Target="https://job.kprsnt.in" TargetMode="External"/><Relationship Id="rIdelsxv9pj6ldjbcwqhwobq" Type="http://schemas.openxmlformats.org/officeDocument/2006/relationships/hyperlink" Target="https://agent.kprsnt.in" TargetMode="External"/><Relationship Id="rIdfg6av2gw3zydx-3ngevrg" Type="http://schemas.openxmlformats.org/officeDocument/2006/relationships/hyperlink" Target="https://bug.kprsnt.in" TargetMode="External"/><Relationship Id="rIdxrb62ehsxciifzjbs-cfl" Type="http://schemas.openxmlformats.org/officeDocument/2006/relationships/hyperlink" Target="https://Node.j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2026-10-24T04:49:35.043Z</dcterms:created>
  <dcterms:modified xsi:type="dcterms:W3CDTF">2026-10-24T04:49:35.043Z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