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 Deployed Engineer (AI Enablement) | AI Systems &amp; Agentic Workflows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20"/>
      </w:pPr>
      <w:hyperlink w:history="1" r:id="rIdjzebxbcs2l1k1cbbw6hal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t5xlap4thnb2lma0_vy66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k9qek-mfs_kgf8lp22zan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duckntiyqicvbtv-xjjys">
        <w:r>
          <w:rPr>
            <w:color w:val="1E3A8A"/>
            <w:sz w:val="15"/>
            <w:szCs w:val="15"/>
            <w:u w:val="single"/>
          </w:rPr>
          <w:t xml:space="preserve">huggingface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Enablement: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(Antigravity, Claude Code, DeepSeek Harness, omp, pi, agy), Agent Evaluation Harnesses, Hash-Chained Audit Ledgers, Scope Guardrails, Budget Enforcement,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Frameworks: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g9rvnppjkfrgsjvzkihn1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Infrastructure: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MyLocalCLI (v4.0.2)</w:t>
      </w:r>
      <w:r>
        <w:rPr>
          <w:i/>
          <w:iCs/>
          <w:color w:val="475569"/>
          <w:sz w:val="15"/>
          <w:szCs w:val="15"/>
        </w:rPr>
        <w:t xml:space="preserve"> | Agent Runtime, Skills &amp; Tool Integrations | [mlc.kprsnt.in](https://mlc.kprsnt.in)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Published public npm package (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) equipped with 42 built-in tools and 38 dynamic skills for local and cloud execution.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workflows across 5 specialized sub-agents: code reviewer, explorer, test generator, refactorer, and doc writer.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multi-provider model connectivity across 8 documented providers: Ollama, LM Studio, vLLM, OpenRouter, Groq, NVIDIA NIM, OpenAI, and custom backends.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AI Eco &amp; Awakening</w:t>
      </w:r>
      <w:r>
        <w:rPr>
          <w:i/>
          <w:iCs/>
          <w:color w:val="475569"/>
          <w:sz w:val="15"/>
          <w:szCs w:val="15"/>
        </w:rPr>
        <w:t xml:space="preserve"> | FastMCP Tool Integrations &amp; Autonomous Workflows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multi-agent swarm architecture comprising 10 swarm agents using FastMCP (15+ tools, 5 resources), achieving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living memory compaction enforcing context boundaries at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long-horizon autonomous execution spanning 1,441 turns and 1,553 commits, maintaining 100% CI integrity across a 330 turns API blackout.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JobAgents</w:t>
      </w:r>
      <w:r>
        <w:rPr>
          <w:i/>
          <w:iCs/>
          <w:color w:val="475569"/>
          <w:sz w:val="15"/>
          <w:szCs w:val="15"/>
        </w:rPr>
        <w:t xml:space="preserve"> | Production Pipeline Automation &amp; Deterministic Evals | [job.kprsnt.in](https://job.kprsnt.in)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automated sourcing pipeline aggregating 7,613 jobs / 5,854 distinct roles across 10 sources and 334 companies tracked, collapsing 1,759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22,839 match scores (0 model calls) across 47 runs, surfacing 155 matches above score threshold 65 using zero external dependencies (Python stdlib only; live at </w:t>
      </w:r>
      <w:hyperlink w:history="1" r:id="rIdsaotjrr8g8hltce68ondr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Integrated deterministic verification gates and anti-fabrication guards, catching 8/8 seeded fabrications with 0 failures across review invariants.</w:t>
      </w:r>
    </w:p>
    <w:p>
      <w:pPr>
        <w:spacing w:after="15" w:before="60"/>
      </w:pPr>
      <w:r>
        <w:rPr>
          <w:b/>
          <w:bCs/>
          <w:color w:val="0F172A"/>
          <w:sz w:val="17"/>
          <w:szCs w:val="17"/>
        </w:rPr>
        <w:t xml:space="preserve">BugAgents &amp; AgentSwarm</w:t>
      </w:r>
      <w:r>
        <w:rPr>
          <w:i/>
          <w:iCs/>
          <w:color w:val="475569"/>
          <w:sz w:val="15"/>
          <w:szCs w:val="15"/>
        </w:rPr>
        <w:t xml:space="preserve"> | Evaluation Harnesses &amp; Review Gates | [agent.kprsnt.in](https://agent.kprsnt.in)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agent evaluation across 4 harnesses (agy, omp, pi, step), recording 0 oracle violations across 1,254 tool calls and 35/35 hash chains intact over 34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human-in-the-loop review gates with 34 filter refusals before promoting 2 reports across 22 hunt runs and 15,317 tool calls.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WORK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AI systems, agentic automations, and data workflows integrating business operations with LLM backends using GCP, Cloud Run, BigQuery, and Python.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 scope guardrails, human-in-the-loop review checkpoints, and deterministic evaluation gates to transition rapid AI prototypes into dependable production systems.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Create structured output pipelines, tool integrations, and data validation routines to support high-adoption internal tools.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Engineered, monitored, and maintained 18 ETL pipelines using BigQuery, SQL, and scheduled queries with end-to-end data quality &amp;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10+ client dashboards and 30+ client reports utilizing Looker Studio and Tableau, translating ambiguous stakeholder requirements into reliable, self-service business solutions.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zebxbcs2l1k1cbbw6hal" Type="http://schemas.openxmlformats.org/officeDocument/2006/relationships/hyperlink" Target="https://kprsnt.in" TargetMode="External"/><Relationship Id="rIdt5xlap4thnb2lma0_vy66" Type="http://schemas.openxmlformats.org/officeDocument/2006/relationships/hyperlink" Target="https://github.com/kprsnt2" TargetMode="External"/><Relationship Id="rIdk9qek-mfs_kgf8lp22zan" Type="http://schemas.openxmlformats.org/officeDocument/2006/relationships/hyperlink" Target="https://linkedin.com/in/prashanth-kumar-kadasi-b5281765" TargetMode="External"/><Relationship Id="rIdduckntiyqicvbtv-xjjys" Type="http://schemas.openxmlformats.org/officeDocument/2006/relationships/hyperlink" Target="https://huggingface.co/kprsnt" TargetMode="External"/><Relationship Id="rIdg9rvnppjkfrgsjvzkihn1" Type="http://schemas.openxmlformats.org/officeDocument/2006/relationships/hyperlink" Target="https://Node.js" TargetMode="External"/><Relationship Id="rIdsaotjrr8g8hltce68ondr" Type="http://schemas.openxmlformats.org/officeDocument/2006/relationships/hyperlink" Target="https://job.kprsnt.i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2026-10-24T04:49:36.927Z</dcterms:created>
  <dcterms:modified xsi:type="dcterms:W3CDTF">2026-10-24T04:49:36.927Z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