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29D" w:rsidRDefault="009E229D">
      <w:pPr>
        <w:jc w:val="center"/>
        <w:rPr>
          <w:lang w:eastAsia="en-CA"/>
        </w:rPr>
      </w:pPr>
    </w:p>
    <w:p w:rsidR="009E229D" w:rsidRDefault="009E229D">
      <w:pPr>
        <w:jc w:val="center"/>
        <w:rPr>
          <w:lang w:eastAsia="en-CA"/>
        </w:rPr>
      </w:pPr>
    </w:p>
    <w:p w:rsidR="009E229D" w:rsidRDefault="009E229D">
      <w:pPr>
        <w:jc w:val="center"/>
        <w:rPr>
          <w:sz w:val="72"/>
          <w:szCs w:val="72"/>
          <w:lang w:eastAsia="en-CA"/>
        </w:rPr>
      </w:pPr>
    </w:p>
    <w:p w:rsidR="009E229D" w:rsidRDefault="007F3580">
      <w:pPr>
        <w:jc w:val="center"/>
        <w:rPr>
          <w:sz w:val="72"/>
          <w:szCs w:val="72"/>
          <w:lang w:eastAsia="en-CA"/>
        </w:rPr>
      </w:pPr>
      <w:r>
        <w:rPr>
          <w:sz w:val="72"/>
          <w:szCs w:val="72"/>
          <w:lang w:eastAsia="en-CA"/>
        </w:rPr>
        <w:t>Assignment 3 Report</w:t>
      </w:r>
    </w:p>
    <w:p w:rsidR="009E229D" w:rsidRDefault="007F3580">
      <w:pPr>
        <w:jc w:val="center"/>
        <w:rPr>
          <w:sz w:val="36"/>
          <w:szCs w:val="36"/>
          <w:lang w:eastAsia="en-CA"/>
        </w:rPr>
      </w:pPr>
      <w:r>
        <w:rPr>
          <w:sz w:val="36"/>
          <w:szCs w:val="36"/>
          <w:lang w:eastAsia="en-CA"/>
        </w:rPr>
        <w:t>CMPT – 431</w:t>
      </w:r>
    </w:p>
    <w:p w:rsidR="009E229D" w:rsidRDefault="009E229D">
      <w:pPr>
        <w:jc w:val="center"/>
        <w:rPr>
          <w:sz w:val="72"/>
          <w:szCs w:val="72"/>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jc w:val="right"/>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9E229D">
      <w:pPr>
        <w:rPr>
          <w:sz w:val="24"/>
          <w:szCs w:val="24"/>
          <w:lang w:eastAsia="en-CA"/>
        </w:rPr>
      </w:pPr>
    </w:p>
    <w:p w:rsidR="009E229D" w:rsidRDefault="007F3580">
      <w:pPr>
        <w:jc w:val="right"/>
        <w:rPr>
          <w:sz w:val="32"/>
          <w:szCs w:val="32"/>
        </w:rPr>
      </w:pPr>
      <w:r>
        <w:rPr>
          <w:sz w:val="24"/>
          <w:szCs w:val="24"/>
          <w:lang w:eastAsia="en-CA"/>
        </w:rPr>
        <w:t>Joshua Campbell</w:t>
      </w:r>
      <w:r>
        <w:rPr>
          <w:sz w:val="24"/>
          <w:szCs w:val="24"/>
        </w:rPr>
        <w:t xml:space="preserve"> - jkcampbe@sfu.ca</w:t>
      </w:r>
    </w:p>
    <w:p w:rsidR="009E229D" w:rsidRDefault="007F3580">
      <w:pPr>
        <w:jc w:val="right"/>
        <w:rPr>
          <w:sz w:val="24"/>
          <w:szCs w:val="24"/>
        </w:rPr>
      </w:pPr>
      <w:r>
        <w:rPr>
          <w:sz w:val="24"/>
          <w:szCs w:val="24"/>
        </w:rPr>
        <w:t xml:space="preserve">Adam </w:t>
      </w:r>
      <w:proofErr w:type="spellStart"/>
      <w:r>
        <w:rPr>
          <w:sz w:val="24"/>
          <w:szCs w:val="24"/>
        </w:rPr>
        <w:t>Penner</w:t>
      </w:r>
      <w:proofErr w:type="spellEnd"/>
      <w:r>
        <w:rPr>
          <w:sz w:val="24"/>
          <w:szCs w:val="24"/>
        </w:rPr>
        <w:t xml:space="preserve"> – adpenner@sfu.ca</w:t>
      </w:r>
    </w:p>
    <w:p w:rsidR="009E229D" w:rsidRDefault="007F3580">
      <w:pPr>
        <w:rPr>
          <w:b/>
          <w:sz w:val="24"/>
          <w:szCs w:val="24"/>
        </w:rPr>
      </w:pPr>
      <w:r>
        <w:rPr>
          <w:noProof/>
          <w:lang w:eastAsia="en-CA"/>
        </w:rPr>
        <w:lastRenderedPageBreak/>
        <w:drawing>
          <wp:inline distT="0" distB="0" distL="0" distR="0">
            <wp:extent cx="2948940" cy="2743200"/>
            <wp:effectExtent l="0" t="0" r="0" b="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lang w:eastAsia="en-CA"/>
        </w:rPr>
        <w:drawing>
          <wp:inline distT="0" distB="0" distL="0" distR="0">
            <wp:extent cx="2903220" cy="2743200"/>
            <wp:effectExtent l="0" t="0" r="0" b="0"/>
            <wp:docPr id="2"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n-CA"/>
        </w:rPr>
        <w:drawing>
          <wp:inline distT="0" distB="0" distL="0" distR="0">
            <wp:extent cx="5897880" cy="2743200"/>
            <wp:effectExtent l="0" t="0" r="0" b="0"/>
            <wp:docPr id="3"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E229D" w:rsidRDefault="007F3580">
      <w:pPr>
        <w:rPr>
          <w:b/>
          <w:sz w:val="24"/>
          <w:szCs w:val="24"/>
        </w:rPr>
      </w:pPr>
      <w:r>
        <w:rPr>
          <w:b/>
          <w:sz w:val="24"/>
          <w:szCs w:val="24"/>
        </w:rPr>
        <w:t>Analysis:</w:t>
      </w:r>
    </w:p>
    <w:p w:rsidR="009E229D" w:rsidRDefault="007F3580">
      <w:pPr>
        <w:rPr>
          <w:sz w:val="24"/>
          <w:szCs w:val="24"/>
        </w:rPr>
      </w:pPr>
      <w:r>
        <w:rPr>
          <w:sz w:val="24"/>
          <w:szCs w:val="24"/>
        </w:rPr>
        <w:t xml:space="preserve">On the server (which appears to be running a GTX 760 (Kepler architecture), we can see that both the Tiled and Naïve </w:t>
      </w:r>
      <w:r>
        <w:rPr>
          <w:sz w:val="24"/>
          <w:szCs w:val="24"/>
        </w:rPr>
        <w:t>implementations of the program are faster than the serial CPU version of the code for all of the image processing techniques. However, the naïve code tends to be slightly faster than the tiled implementation of the code (around a 4-5 millisecond difference</w:t>
      </w:r>
      <w:r>
        <w:rPr>
          <w:sz w:val="24"/>
          <w:szCs w:val="24"/>
        </w:rPr>
        <w:t xml:space="preserve">). The main area where these two implementations occur is in the calculation of the histogram (the </w:t>
      </w:r>
      <w:proofErr w:type="spellStart"/>
      <w:r>
        <w:rPr>
          <w:sz w:val="24"/>
          <w:szCs w:val="24"/>
        </w:rPr>
        <w:t>gpu_histogram</w:t>
      </w:r>
      <w:proofErr w:type="spellEnd"/>
      <w:r>
        <w:rPr>
          <w:sz w:val="24"/>
          <w:szCs w:val="24"/>
        </w:rPr>
        <w:t xml:space="preserve"> </w:t>
      </w:r>
      <w:proofErr w:type="spellStart"/>
      <w:r>
        <w:rPr>
          <w:sz w:val="24"/>
          <w:szCs w:val="24"/>
        </w:rPr>
        <w:t>cuda</w:t>
      </w:r>
      <w:proofErr w:type="spellEnd"/>
      <w:r>
        <w:rPr>
          <w:sz w:val="24"/>
          <w:szCs w:val="24"/>
        </w:rPr>
        <w:t xml:space="preserve"> kernel function in histogram-equalization.cu). This is the only place that we could find where the structure of the program would possibly</w:t>
      </w:r>
      <w:r>
        <w:rPr>
          <w:sz w:val="24"/>
          <w:szCs w:val="24"/>
        </w:rPr>
        <w:t xml:space="preserve"> allow for a benefit from using shared memory (tiling). However, due to the nature of how the histogram is calculated, you must use </w:t>
      </w:r>
      <w:proofErr w:type="spellStart"/>
      <w:r>
        <w:rPr>
          <w:sz w:val="24"/>
          <w:szCs w:val="24"/>
        </w:rPr>
        <w:t>atomicAdds</w:t>
      </w:r>
      <w:proofErr w:type="spellEnd"/>
      <w:r>
        <w:rPr>
          <w:sz w:val="24"/>
          <w:szCs w:val="24"/>
        </w:rPr>
        <w:t xml:space="preserve"> in order to prevent race conditions between the threads if they happen to be modifying the same address at the sa</w:t>
      </w:r>
      <w:r>
        <w:rPr>
          <w:sz w:val="24"/>
          <w:szCs w:val="24"/>
        </w:rPr>
        <w:t xml:space="preserve">me time in order to get a correct histogram </w:t>
      </w:r>
      <w:r>
        <w:rPr>
          <w:sz w:val="24"/>
          <w:szCs w:val="24"/>
        </w:rPr>
        <w:lastRenderedPageBreak/>
        <w:t>(and eventually a correctly processed image). As we can see from these charts, this use of shared memory provided no performance gains on the server. However, when the same code was run on a GTX 675m (NVIDIA’s Fe</w:t>
      </w:r>
      <w:r>
        <w:rPr>
          <w:sz w:val="24"/>
          <w:szCs w:val="24"/>
        </w:rPr>
        <w:t>rmi architecture), the tiled code executed quite a bit faster (around twice as fast when doing a grayscale image processing) than the naïve implementation (diagrams can be found below). After doing some research into the matter, the NVIDIA Kepler Architect</w:t>
      </w:r>
      <w:r>
        <w:rPr>
          <w:sz w:val="24"/>
          <w:szCs w:val="24"/>
        </w:rPr>
        <w:t>ure Whitepaper described some improvements that were made from the Fermi to the Kepler architecture that could explain this huge difference in performance gains. One of the improvements in Kepler described in the whitepaper is that atomic operations such a</w:t>
      </w:r>
      <w:r>
        <w:rPr>
          <w:sz w:val="24"/>
          <w:szCs w:val="24"/>
        </w:rPr>
        <w:t xml:space="preserve">s </w:t>
      </w:r>
      <w:proofErr w:type="spellStart"/>
      <w:r>
        <w:rPr>
          <w:sz w:val="24"/>
          <w:szCs w:val="24"/>
        </w:rPr>
        <w:t>atomicAdd</w:t>
      </w:r>
      <w:proofErr w:type="spellEnd"/>
      <w:r>
        <w:rPr>
          <w:sz w:val="24"/>
          <w:szCs w:val="24"/>
        </w:rPr>
        <w:t xml:space="preserve"> have received a 9 times performance increase from the previous Fermi architecture (page 12 in the included NVIDIA document). Due to these architectural differences, the improvements seen in Fermi when using shared memory seem to have been optim</w:t>
      </w:r>
      <w:r>
        <w:rPr>
          <w:sz w:val="24"/>
          <w:szCs w:val="24"/>
        </w:rPr>
        <w:t>ized out in Kepler through the use of low latency global atomic operations.</w:t>
      </w: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7F3580">
      <w:pPr>
        <w:rPr>
          <w:b/>
          <w:sz w:val="24"/>
          <w:szCs w:val="24"/>
        </w:rPr>
      </w:pPr>
      <w:r>
        <w:rPr>
          <w:noProof/>
          <w:lang w:eastAsia="en-CA"/>
        </w:rPr>
        <w:drawing>
          <wp:inline distT="0" distB="0" distL="0" distR="0">
            <wp:extent cx="4572000" cy="2743200"/>
            <wp:effectExtent l="0" t="0" r="0" b="0"/>
            <wp:docPr id="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229D" w:rsidRDefault="009E229D">
      <w:pPr>
        <w:rPr>
          <w:b/>
          <w:sz w:val="24"/>
          <w:szCs w:val="24"/>
        </w:rPr>
      </w:pPr>
    </w:p>
    <w:p w:rsidR="009E229D" w:rsidRDefault="007F3580">
      <w:pPr>
        <w:rPr>
          <w:b/>
          <w:sz w:val="24"/>
          <w:szCs w:val="24"/>
        </w:rPr>
      </w:pPr>
      <w:r>
        <w:rPr>
          <w:noProof/>
          <w:lang w:eastAsia="en-CA"/>
        </w:rPr>
        <w:lastRenderedPageBreak/>
        <w:drawing>
          <wp:inline distT="0" distB="0" distL="0" distR="0">
            <wp:extent cx="4572000" cy="2743200"/>
            <wp:effectExtent l="0" t="0" r="0" b="0"/>
            <wp:docPr id="5"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229D" w:rsidRDefault="009E229D">
      <w:pPr>
        <w:rPr>
          <w:b/>
          <w:sz w:val="24"/>
          <w:szCs w:val="24"/>
        </w:rPr>
      </w:pPr>
    </w:p>
    <w:p w:rsidR="009E229D" w:rsidRDefault="007F3580">
      <w:pPr>
        <w:rPr>
          <w:b/>
          <w:sz w:val="24"/>
          <w:szCs w:val="24"/>
        </w:rPr>
      </w:pPr>
      <w:r>
        <w:rPr>
          <w:noProof/>
          <w:lang w:eastAsia="en-CA"/>
        </w:rPr>
        <w:drawing>
          <wp:inline distT="0" distB="0" distL="0" distR="0">
            <wp:extent cx="4572000" cy="2743200"/>
            <wp:effectExtent l="0" t="0" r="0" b="0"/>
            <wp:docPr id="6"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9E229D">
      <w:pPr>
        <w:rPr>
          <w:b/>
          <w:sz w:val="24"/>
          <w:szCs w:val="24"/>
        </w:rPr>
      </w:pPr>
    </w:p>
    <w:p w:rsidR="009E229D" w:rsidRDefault="007F3580">
      <w:pPr>
        <w:rPr>
          <w:b/>
          <w:sz w:val="24"/>
          <w:szCs w:val="24"/>
        </w:rPr>
      </w:pPr>
      <w:r>
        <w:rPr>
          <w:b/>
          <w:sz w:val="24"/>
          <w:szCs w:val="24"/>
        </w:rPr>
        <w:lastRenderedPageBreak/>
        <w:t>Link to NVIDIA Kepler Whitepaper document:</w:t>
      </w:r>
    </w:p>
    <w:p w:rsidR="009E229D" w:rsidRDefault="007F3580">
      <w:hyperlink r:id="rId12">
        <w:r>
          <w:rPr>
            <w:rStyle w:val="InternetLink"/>
            <w:sz w:val="24"/>
            <w:szCs w:val="24"/>
          </w:rPr>
          <w:t>http://www.nvidia.com/content/PDF/kepler/NVIDIA-Kepler-GK110-Architecture-Whitepaper.pdf</w:t>
        </w:r>
      </w:hyperlink>
    </w:p>
    <w:p w:rsidR="009E229D" w:rsidRDefault="009E229D">
      <w:pPr>
        <w:rPr>
          <w:sz w:val="24"/>
          <w:szCs w:val="24"/>
        </w:rPr>
      </w:pPr>
    </w:p>
    <w:p w:rsidR="007F3580" w:rsidRDefault="007F3580" w:rsidP="007F3580">
      <w:pPr>
        <w:rPr>
          <w:b/>
          <w:sz w:val="24"/>
          <w:szCs w:val="24"/>
        </w:rPr>
      </w:pPr>
      <w:r>
        <w:rPr>
          <w:b/>
          <w:sz w:val="24"/>
          <w:szCs w:val="24"/>
        </w:rPr>
        <w:t>Other test machine:</w:t>
      </w:r>
    </w:p>
    <w:p w:rsidR="007F3580" w:rsidRDefault="007F3580" w:rsidP="007F3580">
      <w:pPr>
        <w:rPr>
          <w:sz w:val="24"/>
          <w:szCs w:val="24"/>
        </w:rPr>
      </w:pPr>
      <w:r>
        <w:rPr>
          <w:sz w:val="24"/>
          <w:szCs w:val="24"/>
        </w:rPr>
        <w:t>CPU: Intel i7-3630QM @ 2.4 GHz (</w:t>
      </w:r>
      <w:proofErr w:type="spellStart"/>
      <w:r>
        <w:rPr>
          <w:sz w:val="24"/>
          <w:szCs w:val="24"/>
        </w:rPr>
        <w:t>turboboost</w:t>
      </w:r>
      <w:proofErr w:type="spellEnd"/>
      <w:r>
        <w:rPr>
          <w:sz w:val="24"/>
          <w:szCs w:val="24"/>
        </w:rPr>
        <w:t xml:space="preserve"> up to 3.4 GHz)</w:t>
      </w:r>
    </w:p>
    <w:p w:rsidR="007F3580" w:rsidRDefault="007F3580" w:rsidP="007F3580">
      <w:pPr>
        <w:rPr>
          <w:sz w:val="24"/>
          <w:szCs w:val="24"/>
        </w:rPr>
      </w:pPr>
      <w:r>
        <w:rPr>
          <w:sz w:val="24"/>
          <w:szCs w:val="24"/>
        </w:rPr>
        <w:t>GPU: NVIDIA GTX 675m 2GB GDDR5 (Fermi architecture)</w:t>
      </w:r>
    </w:p>
    <w:p w:rsidR="007F3580" w:rsidRDefault="007F3580" w:rsidP="007F3580">
      <w:pPr>
        <w:rPr>
          <w:sz w:val="24"/>
          <w:szCs w:val="24"/>
        </w:rPr>
      </w:pPr>
      <w:r>
        <w:rPr>
          <w:sz w:val="24"/>
          <w:szCs w:val="24"/>
        </w:rPr>
        <w:t>HDD: 750 GB 7200 RPM</w:t>
      </w:r>
    </w:p>
    <w:p w:rsidR="007F3580" w:rsidRPr="00C36145" w:rsidRDefault="007F3580" w:rsidP="007F3580">
      <w:pPr>
        <w:rPr>
          <w:sz w:val="24"/>
          <w:szCs w:val="24"/>
        </w:rPr>
      </w:pPr>
      <w:r>
        <w:rPr>
          <w:sz w:val="24"/>
          <w:szCs w:val="24"/>
        </w:rPr>
        <w:t>RAM: 16 GB DDR3 @ 1333 MHz</w:t>
      </w:r>
    </w:p>
    <w:p w:rsidR="009E229D" w:rsidRDefault="009E229D">
      <w:pPr>
        <w:rPr>
          <w:sz w:val="24"/>
          <w:szCs w:val="24"/>
        </w:rPr>
      </w:pPr>
      <w:bookmarkStart w:id="0" w:name="_GoBack"/>
      <w:bookmarkEnd w:id="0"/>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9E229D">
      <w:pPr>
        <w:rPr>
          <w:sz w:val="24"/>
          <w:szCs w:val="24"/>
        </w:rPr>
        <w:sectPr w:rsidR="009E229D">
          <w:pgSz w:w="12240" w:h="15840"/>
          <w:pgMar w:top="1440" w:right="1440" w:bottom="1440" w:left="1440" w:header="0" w:footer="0" w:gutter="0"/>
          <w:cols w:space="720"/>
          <w:formProt w:val="0"/>
          <w:docGrid w:linePitch="360" w:charSpace="-2049"/>
        </w:sectPr>
      </w:pP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9E229D">
      <w:pPr>
        <w:rPr>
          <w:sz w:val="24"/>
          <w:szCs w:val="24"/>
        </w:rPr>
      </w:pPr>
    </w:p>
    <w:p w:rsidR="009E229D" w:rsidRDefault="007F3580">
      <w:pPr>
        <w:rPr>
          <w:b/>
        </w:rPr>
      </w:pPr>
      <w:proofErr w:type="gramStart"/>
      <w:r>
        <w:rPr>
          <w:b/>
          <w:sz w:val="24"/>
          <w:szCs w:val="24"/>
        </w:rPr>
        <w:t>cs-synar-06</w:t>
      </w:r>
      <w:proofErr w:type="gramEnd"/>
      <w:r>
        <w:rPr>
          <w:b/>
          <w:sz w:val="24"/>
          <w:szCs w:val="24"/>
        </w:rPr>
        <w:t xml:space="preserve"> GPU </w:t>
      </w:r>
      <w:proofErr w:type="spellStart"/>
      <w:r>
        <w:rPr>
          <w:b/>
          <w:sz w:val="24"/>
          <w:szCs w:val="24"/>
        </w:rPr>
        <w:t>SpeedUp</w:t>
      </w:r>
      <w:proofErr w:type="spellEnd"/>
    </w:p>
    <w:p w:rsidR="009E229D" w:rsidRDefault="007F3580">
      <w:pPr>
        <w:rPr>
          <w:sz w:val="24"/>
          <w:szCs w:val="24"/>
        </w:rPr>
      </w:pPr>
      <w:r>
        <w:rPr>
          <w:noProof/>
          <w:lang w:eastAsia="en-CA"/>
        </w:rPr>
        <w:drawing>
          <wp:anchor distT="0" distB="127000" distL="0" distR="0" simplePos="0" relativeHeight="8" behindDoc="0" locked="0" layoutInCell="1" allowOverlap="1">
            <wp:simplePos x="0" y="0"/>
            <wp:positionH relativeFrom="column">
              <wp:align>center</wp:align>
            </wp:positionH>
            <wp:positionV relativeFrom="paragraph">
              <wp:align>top</wp:align>
            </wp:positionV>
            <wp:extent cx="8510905" cy="1878330"/>
            <wp:effectExtent l="0" t="0" r="0" b="0"/>
            <wp:wrapSquare wrapText="largest"/>
            <wp:docPr id="7"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pic:cNvPicPr>
                      <a:picLocks noChangeAspect="1" noChangeArrowheads="1"/>
                    </pic:cNvPicPr>
                  </pic:nvPicPr>
                  <pic:blipFill>
                    <a:blip r:embed="rId13"/>
                    <a:stretch>
                      <a:fillRect/>
                    </a:stretch>
                  </pic:blipFill>
                  <pic:spPr bwMode="auto">
                    <a:xfrm>
                      <a:off x="0" y="0"/>
                      <a:ext cx="8510905" cy="1878330"/>
                    </a:xfrm>
                    <a:prstGeom prst="rect">
                      <a:avLst/>
                    </a:prstGeom>
                    <a:noFill/>
                    <a:ln w="9525">
                      <a:noFill/>
                      <a:miter lim="800000"/>
                      <a:headEnd/>
                      <a:tailEnd/>
                    </a:ln>
                  </pic:spPr>
                </pic:pic>
              </a:graphicData>
            </a:graphic>
          </wp:anchor>
        </w:drawing>
      </w:r>
    </w:p>
    <w:sectPr w:rsidR="009E229D">
      <w:pgSz w:w="15840" w:h="12240" w:orient="landscape"/>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29D"/>
    <w:rsid w:val="007F3580"/>
    <w:rsid w:val="009E229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0034A"/>
    <w:rPr>
      <w:rFonts w:ascii="Tahoma" w:hAnsi="Tahoma" w:cs="Tahoma"/>
      <w:sz w:val="16"/>
      <w:szCs w:val="16"/>
    </w:rPr>
  </w:style>
  <w:style w:type="character" w:customStyle="1" w:styleId="InternetLink">
    <w:name w:val="Internet Link"/>
    <w:basedOn w:val="DefaultParagraphFont"/>
    <w:uiPriority w:val="99"/>
    <w:unhideWhenUsed/>
    <w:rsid w:val="00C2044E"/>
    <w:rPr>
      <w:color w:val="0000FF" w:themeColor="hyperlink"/>
      <w:u w:val="single"/>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B0034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hyperlink" Target="http://www.nvidia.com/content/PDF/kepler/NVIDIA-Kepler-GK110-Architecture-Whitepaper.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Coloured image processing (HSL)</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HSL</c:v>
                </c:pt>
                <c:pt idx="1">
                  <c:v>GPU HSL - Tiled</c:v>
                </c:pt>
                <c:pt idx="2">
                  <c:v>GPU HSL - Naïve</c:v>
                </c:pt>
              </c:strCache>
            </c:strRef>
          </c:cat>
          <c:val>
            <c:numRef>
              <c:f>0</c:f>
              <c:numCache>
                <c:formatCode>General</c:formatCode>
                <c:ptCount val="3"/>
                <c:pt idx="0">
                  <c:v>221.303</c:v>
                </c:pt>
                <c:pt idx="1">
                  <c:v>13.971776</c:v>
                </c:pt>
                <c:pt idx="2">
                  <c:v>12.911808000000001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48848000"/>
        <c:axId val="149484672"/>
      </c:barChart>
      <c:catAx>
        <c:axId val="148848000"/>
        <c:scaling>
          <c:orientation val="minMax"/>
        </c:scaling>
        <c:delete val="0"/>
        <c:axPos val="b"/>
        <c:majorTickMark val="out"/>
        <c:minorTickMark val="none"/>
        <c:tickLblPos val="nextTo"/>
        <c:spPr>
          <a:ln w="9360">
            <a:solidFill>
              <a:srgbClr val="878787"/>
            </a:solidFill>
            <a:round/>
          </a:ln>
        </c:spPr>
        <c:crossAx val="149484672"/>
        <c:crosses val="autoZero"/>
        <c:auto val="1"/>
        <c:lblAlgn val="ctr"/>
        <c:lblOffset val="100"/>
        <c:noMultiLvlLbl val="1"/>
      </c:catAx>
      <c:valAx>
        <c:axId val="149484672"/>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148848000"/>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Gray image processing</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Gray</c:v>
                </c:pt>
                <c:pt idx="1">
                  <c:v>GPU Gray - Tiled</c:v>
                </c:pt>
                <c:pt idx="2">
                  <c:v>GPU Gray - Naïve</c:v>
                </c:pt>
              </c:strCache>
            </c:strRef>
          </c:cat>
          <c:val>
            <c:numRef>
              <c:f>0</c:f>
              <c:numCache>
                <c:formatCode>General</c:formatCode>
                <c:ptCount val="3"/>
                <c:pt idx="0">
                  <c:v>17.010999999999999</c:v>
                </c:pt>
                <c:pt idx="1">
                  <c:v>6.0594239999999999</c:v>
                </c:pt>
                <c:pt idx="2">
                  <c:v>4.8594559999999998</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87680896"/>
        <c:axId val="87682432"/>
      </c:barChart>
      <c:catAx>
        <c:axId val="87680896"/>
        <c:scaling>
          <c:orientation val="minMax"/>
        </c:scaling>
        <c:delete val="0"/>
        <c:axPos val="b"/>
        <c:majorTickMark val="out"/>
        <c:minorTickMark val="none"/>
        <c:tickLblPos val="nextTo"/>
        <c:spPr>
          <a:ln w="9360">
            <a:solidFill>
              <a:srgbClr val="878787"/>
            </a:solidFill>
            <a:round/>
          </a:ln>
        </c:spPr>
        <c:crossAx val="87682432"/>
        <c:crosses val="autoZero"/>
        <c:auto val="1"/>
        <c:lblAlgn val="ctr"/>
        <c:lblOffset val="100"/>
        <c:noMultiLvlLbl val="1"/>
      </c:catAx>
      <c:valAx>
        <c:axId val="87682432"/>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87680896"/>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Coloured image processing (YUV)</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YUV</c:v>
                </c:pt>
                <c:pt idx="1">
                  <c:v>GPU YUV - Tiled</c:v>
                </c:pt>
                <c:pt idx="2">
                  <c:v>GPU YUV - Naïve</c:v>
                </c:pt>
              </c:strCache>
            </c:strRef>
          </c:cat>
          <c:val>
            <c:numRef>
              <c:f>0</c:f>
              <c:numCache>
                <c:formatCode>General</c:formatCode>
                <c:ptCount val="3"/>
                <c:pt idx="0">
                  <c:v>123.095</c:v>
                </c:pt>
                <c:pt idx="1">
                  <c:v>12.815744</c:v>
                </c:pt>
                <c:pt idx="2">
                  <c:v>11.206944</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12381952"/>
        <c:axId val="112383488"/>
      </c:barChart>
      <c:catAx>
        <c:axId val="112381952"/>
        <c:scaling>
          <c:orientation val="minMax"/>
        </c:scaling>
        <c:delete val="0"/>
        <c:axPos val="b"/>
        <c:majorTickMark val="out"/>
        <c:minorTickMark val="none"/>
        <c:tickLblPos val="nextTo"/>
        <c:spPr>
          <a:ln w="9360">
            <a:solidFill>
              <a:srgbClr val="878787"/>
            </a:solidFill>
            <a:round/>
          </a:ln>
        </c:spPr>
        <c:crossAx val="112383488"/>
        <c:crosses val="autoZero"/>
        <c:auto val="1"/>
        <c:lblAlgn val="ctr"/>
        <c:lblOffset val="100"/>
        <c:noMultiLvlLbl val="1"/>
      </c:catAx>
      <c:valAx>
        <c:axId val="112383488"/>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112381952"/>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GTX 675m (Fermi) Gray processing</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c:v>
                </c:pt>
                <c:pt idx="1">
                  <c:v>GPU Tiled</c:v>
                </c:pt>
                <c:pt idx="2">
                  <c:v>GPU Naive</c:v>
                </c:pt>
              </c:strCache>
            </c:strRef>
          </c:cat>
          <c:val>
            <c:numRef>
              <c:f>0</c:f>
              <c:numCache>
                <c:formatCode>General</c:formatCode>
                <c:ptCount val="3"/>
                <c:pt idx="0">
                  <c:v>62.268686000000002</c:v>
                </c:pt>
                <c:pt idx="1">
                  <c:v>34.959755000000001</c:v>
                </c:pt>
                <c:pt idx="2">
                  <c:v>72.355422666666698</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49755776"/>
        <c:axId val="149757312"/>
      </c:barChart>
      <c:catAx>
        <c:axId val="149755776"/>
        <c:scaling>
          <c:orientation val="minMax"/>
        </c:scaling>
        <c:delete val="0"/>
        <c:axPos val="b"/>
        <c:majorTickMark val="out"/>
        <c:minorTickMark val="none"/>
        <c:tickLblPos val="nextTo"/>
        <c:spPr>
          <a:ln w="9360">
            <a:solidFill>
              <a:srgbClr val="878787"/>
            </a:solidFill>
            <a:round/>
          </a:ln>
        </c:spPr>
        <c:crossAx val="149757312"/>
        <c:crosses val="autoZero"/>
        <c:auto val="1"/>
        <c:lblAlgn val="ctr"/>
        <c:lblOffset val="100"/>
        <c:noMultiLvlLbl val="1"/>
      </c:catAx>
      <c:valAx>
        <c:axId val="149757312"/>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149755776"/>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GTX 675m (Fermi) Colour - HSL</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HSL</c:v>
                </c:pt>
                <c:pt idx="1">
                  <c:v>GPU Tiled - HSL</c:v>
                </c:pt>
                <c:pt idx="2">
                  <c:v>GPU Naïve - HSL</c:v>
                </c:pt>
              </c:strCache>
            </c:strRef>
          </c:cat>
          <c:val>
            <c:numRef>
              <c:f>0</c:f>
              <c:numCache>
                <c:formatCode>General</c:formatCode>
                <c:ptCount val="3"/>
                <c:pt idx="0">
                  <c:v>1201.81427733333</c:v>
                </c:pt>
                <c:pt idx="1">
                  <c:v>151.74037166666699</c:v>
                </c:pt>
                <c:pt idx="2">
                  <c:v>200.801930666667</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49790720"/>
        <c:axId val="149792256"/>
      </c:barChart>
      <c:catAx>
        <c:axId val="149790720"/>
        <c:scaling>
          <c:orientation val="minMax"/>
        </c:scaling>
        <c:delete val="0"/>
        <c:axPos val="b"/>
        <c:majorTickMark val="out"/>
        <c:minorTickMark val="none"/>
        <c:tickLblPos val="nextTo"/>
        <c:spPr>
          <a:ln w="9360">
            <a:solidFill>
              <a:srgbClr val="878787"/>
            </a:solidFill>
            <a:round/>
          </a:ln>
        </c:spPr>
        <c:crossAx val="149792256"/>
        <c:crosses val="autoZero"/>
        <c:auto val="1"/>
        <c:lblAlgn val="ctr"/>
        <c:lblOffset val="100"/>
        <c:noMultiLvlLbl val="1"/>
      </c:catAx>
      <c:valAx>
        <c:axId val="149792256"/>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149790720"/>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CA"/>
  <c:roundedCorners val="1"/>
  <c:style val="2"/>
  <c:chart>
    <c:title>
      <c:tx>
        <c:rich>
          <a:bodyPr/>
          <a:lstStyle/>
          <a:p>
            <a:pPr>
              <a:defRPr/>
            </a:pPr>
            <a:r>
              <a:rPr lang="en-CA" b="1">
                <a:solidFill>
                  <a:srgbClr val="000000"/>
                </a:solidFill>
                <a:latin typeface="Calibri"/>
              </a:rPr>
              <a:t>GTX 675m (Fermi) Colour - YUV</a:t>
            </a:r>
          </a:p>
        </c:rich>
      </c:tx>
      <c:overlay val="1"/>
    </c:title>
    <c:autoTitleDeleted val="0"/>
    <c:plotArea>
      <c:layout/>
      <c:barChart>
        <c:barDir val="col"/>
        <c:grouping val="clustered"/>
        <c:varyColors val="1"/>
        <c:ser>
          <c:idx val="0"/>
          <c:order val="0"/>
          <c:tx>
            <c:strRef>
              <c:f>label 0</c:f>
              <c:strCache>
                <c:ptCount val="1"/>
              </c:strCache>
            </c:strRef>
          </c:tx>
          <c:spPr>
            <a:solidFill>
              <a:srgbClr val="4F81BD"/>
            </a:solidFill>
            <a:ln>
              <a:noFill/>
            </a:ln>
          </c:spPr>
          <c:invertIfNegative val="1"/>
          <c:dLbls>
            <c:dLblPos val="ctr"/>
            <c:showLegendKey val="0"/>
            <c:showVal val="0"/>
            <c:showCatName val="0"/>
            <c:showSerName val="0"/>
            <c:showPercent val="0"/>
            <c:showBubbleSize val="1"/>
            <c:showLeaderLines val="0"/>
          </c:dLbls>
          <c:cat>
            <c:strRef>
              <c:f>categories</c:f>
              <c:strCache>
                <c:ptCount val="3"/>
                <c:pt idx="0">
                  <c:v>CPU YUV</c:v>
                </c:pt>
                <c:pt idx="1">
                  <c:v>GPU Tiled -YUV</c:v>
                </c:pt>
                <c:pt idx="2">
                  <c:v>GPU Naïve - YUV</c:v>
                </c:pt>
              </c:strCache>
            </c:strRef>
          </c:cat>
          <c:val>
            <c:numRef>
              <c:f>0</c:f>
              <c:numCache>
                <c:formatCode>General</c:formatCode>
                <c:ptCount val="3"/>
                <c:pt idx="0">
                  <c:v>516.84732733333306</c:v>
                </c:pt>
                <c:pt idx="1">
                  <c:v>123.48761766666701</c:v>
                </c:pt>
                <c:pt idx="2">
                  <c:v>166.10010800000001</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Lst>
        </c:ser>
        <c:dLbls>
          <c:showLegendKey val="0"/>
          <c:showVal val="0"/>
          <c:showCatName val="0"/>
          <c:showSerName val="0"/>
          <c:showPercent val="0"/>
          <c:showBubbleSize val="0"/>
        </c:dLbls>
        <c:gapWidth val="150"/>
        <c:axId val="117909376"/>
        <c:axId val="117910912"/>
      </c:barChart>
      <c:catAx>
        <c:axId val="117909376"/>
        <c:scaling>
          <c:orientation val="minMax"/>
        </c:scaling>
        <c:delete val="0"/>
        <c:axPos val="b"/>
        <c:majorTickMark val="out"/>
        <c:minorTickMark val="none"/>
        <c:tickLblPos val="nextTo"/>
        <c:spPr>
          <a:ln w="9360">
            <a:solidFill>
              <a:srgbClr val="878787"/>
            </a:solidFill>
            <a:round/>
          </a:ln>
        </c:spPr>
        <c:crossAx val="117910912"/>
        <c:crosses val="autoZero"/>
        <c:auto val="1"/>
        <c:lblAlgn val="ctr"/>
        <c:lblOffset val="100"/>
        <c:noMultiLvlLbl val="1"/>
      </c:catAx>
      <c:valAx>
        <c:axId val="117910912"/>
        <c:scaling>
          <c:orientation val="minMax"/>
        </c:scaling>
        <c:delete val="0"/>
        <c:axPos val="l"/>
        <c:majorGridlines>
          <c:spPr>
            <a:ln w="9360">
              <a:solidFill>
                <a:srgbClr val="878787"/>
              </a:solidFill>
              <a:round/>
            </a:ln>
          </c:spPr>
        </c:majorGridlines>
        <c:title>
          <c:tx>
            <c:rich>
              <a:bodyPr/>
              <a:lstStyle/>
              <a:p>
                <a:pPr>
                  <a:defRPr/>
                </a:pPr>
                <a:r>
                  <a:rPr lang="en-CA" sz="1000" b="1">
                    <a:solidFill>
                      <a:srgbClr val="000000"/>
                    </a:solidFill>
                    <a:latin typeface="Calibri"/>
                  </a:rPr>
                  <a:t>Time (milliseconds)</a:t>
                </a:r>
              </a:p>
            </c:rich>
          </c:tx>
          <c:overlay val="1"/>
        </c:title>
        <c:numFmt formatCode="General" sourceLinked="1"/>
        <c:majorTickMark val="out"/>
        <c:minorTickMark val="none"/>
        <c:tickLblPos val="nextTo"/>
        <c:spPr>
          <a:ln w="9360">
            <a:solidFill>
              <a:srgbClr val="878787"/>
            </a:solidFill>
            <a:round/>
          </a:ln>
        </c:spPr>
        <c:crossAx val="117909376"/>
        <c:crosses val="autoZero"/>
        <c:crossBetween val="between"/>
      </c:valAx>
      <c:spPr>
        <a:solidFill>
          <a:srgbClr val="FFFFFF"/>
        </a:solidFill>
        <a:ln>
          <a:noFill/>
        </a:ln>
      </c:spPr>
    </c:plotArea>
    <c:plotVisOnly val="1"/>
    <c:dispBlanksAs val="zero"/>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8E6F0-66B0-406B-87AC-DA99CDC6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6</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70</cp:revision>
  <cp:lastPrinted>2015-02-07T01:28:00Z</cp:lastPrinted>
  <dcterms:created xsi:type="dcterms:W3CDTF">2015-03-11T00:58:00Z</dcterms:created>
  <dcterms:modified xsi:type="dcterms:W3CDTF">2015-04-07T23:44:00Z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