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F4416E">
      <w:pPr>
        <w:ind w:firstLine="0"/>
        <w:jc w:val="center"/>
      </w:pPr>
      <w:r w:rsidRPr="00F4416E">
        <w:rPr>
          <w:noProof/>
        </w:rPr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</w:p>
    <w:p w14:paraId="00000058" w14:textId="0358A56D" w:rsidR="00547E61" w:rsidRDefault="0023795D" w:rsidP="00BB4780">
      <w:pPr>
        <w:spacing w:before="240" w:after="24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 w:rsidP="00BB4780"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 w:rsidP="00BB4780"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 w:rsidP="00BB4780"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 w:rsidP="00BB4780"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 w:rsidP="00BB4780"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B4780"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B4780"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 w:rsidP="00BB4780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 w:rsidP="00BB4780"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 w:rsidP="00BB4780"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 w:rsidP="00BB4780"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 w:rsidP="00BB4780"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B4780"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682B8824" w:rsidR="00547E61" w:rsidRPr="00972E5A" w:rsidRDefault="0023795D" w:rsidP="00BB478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 w:rsidP="00BB4780"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 w:rsidP="00BB4780"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 w:rsidP="00BB4780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1B25DB5F" w:rsidR="00547E61" w:rsidRDefault="001D5378" w:rsidP="00BB4780">
      <w:r>
        <w:t>Помимо этого,</w:t>
      </w:r>
      <w:r w:rsidR="0023795D">
        <w:t xml:space="preserve"> разработанная система должна работать на ПК с ОС Windows версии 10 и старше и разрядностью х64 с NET Framework</w:t>
      </w:r>
      <w:commentRangeStart w:id="13"/>
      <w:commentRangeStart w:id="14"/>
      <w:r w:rsidR="0023795D">
        <w:t xml:space="preserve"> </w:t>
      </w:r>
      <w:r w:rsidR="00D30264" w:rsidRPr="00D30264">
        <w:t>8</w:t>
      </w:r>
      <w:r w:rsidR="0023795D">
        <w:t>.</w:t>
      </w:r>
      <w:r w:rsidR="00D30264" w:rsidRPr="00D30264">
        <w:t>0</w:t>
      </w:r>
      <w:r w:rsidR="0023795D">
        <w:t>.</w:t>
      </w:r>
      <w:commentRangeEnd w:id="13"/>
      <w:r w:rsidR="00C16179">
        <w:rPr>
          <w:rStyle w:val="af9"/>
        </w:rPr>
        <w:commentReference w:id="13"/>
      </w:r>
      <w:commentRangeEnd w:id="14"/>
      <w:r w:rsidR="00213C6A">
        <w:rPr>
          <w:rStyle w:val="af9"/>
        </w:rPr>
        <w:commentReference w:id="14"/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 w:rsidP="00BB4780"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 w:rsidP="00BB4780"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5" w:name="_heading=h.26in1rg" w:colFirst="0" w:colLast="0"/>
      <w:bookmarkEnd w:id="15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6" w:name="_heading=h.lnxbz9" w:colFirst="0" w:colLast="0"/>
      <w:bookmarkEnd w:id="16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7" w:name="_heading=h.35nkun2" w:colFirst="0" w:colLast="0"/>
      <w:bookmarkEnd w:id="17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8" w:name="_heading=h.1ksv4uv" w:colFirst="0" w:colLast="0"/>
      <w:bookmarkEnd w:id="18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19" w:name="_heading=h.44sinio" w:colFirst="0" w:colLast="0"/>
      <w:bookmarkEnd w:id="19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0" w:name="_heading=h.2jxsxqh" w:colFirst="0" w:colLast="0"/>
      <w:bookmarkEnd w:id="20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1" w:name="_heading=h.z337ya" w:colFirst="0" w:colLast="0"/>
      <w:bookmarkEnd w:id="21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2" w:name="_heading=h.3j2qqm3" w:colFirst="0" w:colLast="0"/>
      <w:bookmarkEnd w:id="22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3" w:name="_heading=h.1y810tw" w:colFirst="0" w:colLast="0"/>
      <w:bookmarkEnd w:id="23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4" w:name="_heading=h.4i7ojhp" w:colFirst="0" w:colLast="0"/>
      <w:bookmarkEnd w:id="24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5" w:name="_heading=h.2xcytpi" w:colFirst="0" w:colLast="0"/>
      <w:bookmarkEnd w:id="25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6" w:name="_heading=h.1ci93xb" w:colFirst="0" w:colLast="0"/>
      <w:bookmarkEnd w:id="26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7" w:name="_heading=h.3whwml4" w:colFirst="0" w:colLast="0"/>
      <w:bookmarkEnd w:id="27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8" w:name="_heading=h.2bn6wsx" w:colFirst="0" w:colLast="0"/>
      <w:bookmarkEnd w:id="28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29" w:name="_heading=h.qsh70q" w:colFirst="0" w:colLast="0"/>
      <w:bookmarkEnd w:id="29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 w:rsidP="00D30264"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3" w:author="Kalentyev Alexey" w:date="2025-09-30T12:14:00Z" w:initials="KA">
    <w:p w14:paraId="56B72139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Поднять фреймворк</w:t>
      </w:r>
    </w:p>
  </w:comment>
  <w:comment w:id="14" w:author="Kalentyev Alexey" w:date="2025-10-07T14:03:00Z" w:initials="KA">
    <w:p w14:paraId="6912BC0B" w14:textId="77777777" w:rsidR="00213C6A" w:rsidRDefault="00213C6A" w:rsidP="00213C6A">
      <w:pPr>
        <w:pStyle w:val="af7"/>
        <w:ind w:firstLine="0"/>
        <w:jc w:val="left"/>
      </w:pPr>
      <w:r>
        <w:rPr>
          <w:rStyle w:val="af9"/>
        </w:rPr>
        <w:annotationRef/>
      </w:r>
      <w:r>
        <w:t>Нет такого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B72139" w15:done="0"/>
  <w15:commentEx w15:paraId="6912BC0B" w15:paraIdParent="56B721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DA8BD2" w16cex:dateUtc="2025-09-30T05:14:00Z"/>
  <w16cex:commentExtensible w16cex:durableId="622673A5" w16cex:dateUtc="2025-10-07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B72139" w16cid:durableId="75DA8BD2"/>
  <w16cid:commentId w16cid:paraId="6912BC0B" w16cid:durableId="622673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1FBA0" w14:textId="77777777" w:rsidR="00C561BF" w:rsidRDefault="00C561BF">
      <w:pPr>
        <w:spacing w:line="240" w:lineRule="auto"/>
      </w:pPr>
      <w:r>
        <w:separator/>
      </w:r>
    </w:p>
  </w:endnote>
  <w:endnote w:type="continuationSeparator" w:id="0">
    <w:p w14:paraId="448B0CD1" w14:textId="77777777" w:rsidR="00C561BF" w:rsidRDefault="00C56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05CE9" w14:textId="77777777" w:rsidR="00C561BF" w:rsidRDefault="00C561BF">
      <w:pPr>
        <w:spacing w:line="240" w:lineRule="auto"/>
      </w:pPr>
      <w:r>
        <w:separator/>
      </w:r>
    </w:p>
  </w:footnote>
  <w:footnote w:type="continuationSeparator" w:id="0">
    <w:p w14:paraId="40B00C93" w14:textId="77777777" w:rsidR="00C561BF" w:rsidRDefault="00C56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417408608">
    <w:abstractNumId w:val="11"/>
  </w:num>
  <w:num w:numId="2" w16cid:durableId="530921461">
    <w:abstractNumId w:val="6"/>
  </w:num>
  <w:num w:numId="3" w16cid:durableId="1474449429">
    <w:abstractNumId w:val="1"/>
  </w:num>
  <w:num w:numId="4" w16cid:durableId="695816131">
    <w:abstractNumId w:val="5"/>
  </w:num>
  <w:num w:numId="5" w16cid:durableId="962811365">
    <w:abstractNumId w:val="0"/>
  </w:num>
  <w:num w:numId="6" w16cid:durableId="1128738868">
    <w:abstractNumId w:val="7"/>
  </w:num>
  <w:num w:numId="7" w16cid:durableId="2082751153">
    <w:abstractNumId w:val="8"/>
  </w:num>
  <w:num w:numId="8" w16cid:durableId="2035495301">
    <w:abstractNumId w:val="9"/>
  </w:num>
  <w:num w:numId="9" w16cid:durableId="119342261">
    <w:abstractNumId w:val="10"/>
  </w:num>
  <w:num w:numId="10" w16cid:durableId="1423801216">
    <w:abstractNumId w:val="12"/>
  </w:num>
  <w:num w:numId="11" w16cid:durableId="1742632542">
    <w:abstractNumId w:val="3"/>
  </w:num>
  <w:num w:numId="12" w16cid:durableId="899825564">
    <w:abstractNumId w:val="2"/>
  </w:num>
  <w:num w:numId="13" w16cid:durableId="4183288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0E1744"/>
    <w:rsid w:val="0017387F"/>
    <w:rsid w:val="001D5378"/>
    <w:rsid w:val="00213C6A"/>
    <w:rsid w:val="0023795D"/>
    <w:rsid w:val="003215FA"/>
    <w:rsid w:val="0038361F"/>
    <w:rsid w:val="00547E61"/>
    <w:rsid w:val="00562BC0"/>
    <w:rsid w:val="005867FA"/>
    <w:rsid w:val="005911AC"/>
    <w:rsid w:val="005F7CC4"/>
    <w:rsid w:val="00676C58"/>
    <w:rsid w:val="007476F1"/>
    <w:rsid w:val="00967AB1"/>
    <w:rsid w:val="00972E5A"/>
    <w:rsid w:val="009C19C9"/>
    <w:rsid w:val="009D08FD"/>
    <w:rsid w:val="00B3640B"/>
    <w:rsid w:val="00B44F1B"/>
    <w:rsid w:val="00BB4780"/>
    <w:rsid w:val="00C16179"/>
    <w:rsid w:val="00C561BF"/>
    <w:rsid w:val="00C66CC1"/>
    <w:rsid w:val="00C757CE"/>
    <w:rsid w:val="00CD6E1D"/>
    <w:rsid w:val="00D30264"/>
    <w:rsid w:val="00DC14F5"/>
    <w:rsid w:val="00E07146"/>
    <w:rsid w:val="00E42295"/>
    <w:rsid w:val="00F12A71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8</cp:revision>
  <dcterms:created xsi:type="dcterms:W3CDTF">2025-09-28T09:57:00Z</dcterms:created>
  <dcterms:modified xsi:type="dcterms:W3CDTF">2025-10-07T07:03:00Z</dcterms:modified>
</cp:coreProperties>
</file>