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E61" w:rsidRDefault="00547E61">
      <w:pPr>
        <w:spacing w:after="160" w:line="259" w:lineRule="auto"/>
        <w:ind w:firstLine="0"/>
        <w:jc w:val="left"/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23795D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EndPr/>
        <w:sdtContent/>
      </w:sdt>
      <w:r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EndPr/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 xml:space="preserve">1.3 Перечень </w:t>
            </w:r>
            <w:r>
              <w:rPr>
                <w:color w:val="000000"/>
              </w:rPr>
              <w:t>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</w:t>
            </w:r>
            <w:r>
              <w:rPr>
                <w:color w:val="000000"/>
              </w:rPr>
              <w:t>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</w:t>
            </w:r>
            <w:r>
              <w:rPr>
                <w:color w:val="000000"/>
              </w:rPr>
              <w:t>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</w:t>
            </w:r>
            <w:r>
              <w:rPr>
                <w:color w:val="000000"/>
              </w:rPr>
              <w:t>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</w:t>
            </w:r>
            <w:r>
              <w:rPr>
                <w:color w:val="000000"/>
              </w:rPr>
              <w:t>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</w:t>
            </w:r>
            <w:r>
              <w:rPr>
                <w:color w:val="000000"/>
              </w:rPr>
              <w:t>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</w:t>
      </w:r>
      <w:r>
        <w:t>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</w:t>
      </w:r>
      <w:r>
        <w:t>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</w:t>
      </w:r>
      <w:r>
        <w:t>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</w:t>
      </w:r>
      <w:r>
        <w:t>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</w:t>
      </w:r>
      <w:r>
        <w:t xml:space="preserve">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21A69CB4" w:rsidR="00547E61" w:rsidRDefault="0038361F">
      <w:pPr>
        <w:ind w:firstLine="0"/>
        <w:jc w:val="center"/>
      </w:pPr>
      <w:r w:rsidRPr="0038361F">
        <w:drawing>
          <wp:inline distT="0" distB="0" distL="0" distR="0" wp14:anchorId="0FD65B58" wp14:editId="321B5740">
            <wp:extent cx="3207434" cy="4188931"/>
            <wp:effectExtent l="12700" t="12700" r="1841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243" cy="4213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</w:t>
      </w:r>
      <w:r>
        <w:t>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>H</w:t>
      </w:r>
      <w:r w:rsidR="0023795D">
        <w:t xml:space="preserve"> (15</w:t>
      </w:r>
      <w:r w:rsidR="0023795D">
        <w:t xml:space="preserve">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>(</w:t>
      </w:r>
      <w:r w:rsidR="005867FA">
        <w:t xml:space="preserve">1000 </w:t>
      </w:r>
      <w:r w:rsidR="009D08FD">
        <w:t>-</w:t>
      </w:r>
      <w:r w:rsidR="005867FA">
        <w:t xml:space="preserve"> 2500мм);</w:t>
      </w:r>
    </w:p>
    <w:p w14:paraId="00000054" w14:textId="14A95B86" w:rsidR="00547E61" w:rsidRDefault="005867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</w:t>
      </w:r>
      <w:r w:rsidR="0038361F">
        <w:t xml:space="preserve">углов </w:t>
      </w:r>
      <w:r w:rsidRPr="000D05C5">
        <w:t>с</w:t>
      </w:r>
      <w:r>
        <w:t>толешницы</w:t>
      </w:r>
      <w:r>
        <w:t xml:space="preserve">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>о не более половины ширины стола</w:t>
      </w:r>
      <w:r w:rsidR="007476F1">
        <w:t>;</w:t>
      </w:r>
    </w:p>
    <w:p w14:paraId="00000055" w14:textId="0A70D992" w:rsidR="00547E61" w:rsidRDefault="007476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расстояние </w:t>
      </w:r>
      <w:r w:rsidR="00C66CC1">
        <w:rPr>
          <w:lang w:val="en-US"/>
        </w:rPr>
        <w:t>L</w:t>
      </w:r>
      <w:r w:rsidR="00C66CC1" w:rsidRPr="00C66CC1">
        <w:t xml:space="preserve">2 </w:t>
      </w:r>
      <w:r>
        <w:t xml:space="preserve">между </w:t>
      </w:r>
      <w:r w:rsidR="00C66CC1">
        <w:t xml:space="preserve">точками начала </w:t>
      </w:r>
      <w:proofErr w:type="spellStart"/>
      <w:r w:rsidR="00C66CC1">
        <w:t>скругления</w:t>
      </w:r>
      <w:proofErr w:type="spellEnd"/>
      <w:r w:rsidR="00C66CC1">
        <w:t xml:space="preserve"> </w:t>
      </w:r>
      <w:r w:rsidR="00C66CC1" w:rsidRPr="00C66CC1">
        <w:t>бу</w:t>
      </w:r>
      <w:r w:rsidR="00C66CC1">
        <w:t xml:space="preserve">дет зависеть от длины столешницы и от радиуса </w:t>
      </w:r>
      <w:proofErr w:type="spellStart"/>
      <w:r w:rsidR="00C66CC1">
        <w:t>скругления</w:t>
      </w:r>
      <w:proofErr w:type="spellEnd"/>
      <w:r w:rsidR="0023795D">
        <w:t>;</w:t>
      </w:r>
    </w:p>
    <w:p w14:paraId="00000056" w14:textId="491E0A01" w:rsidR="00547E61" w:rsidRDefault="00C66C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расстояние </w:t>
      </w:r>
      <w:r>
        <w:rPr>
          <w:lang w:val="en-US"/>
        </w:rPr>
        <w:t>W</w:t>
      </w:r>
      <w:r w:rsidRPr="00C66CC1">
        <w:t xml:space="preserve">2 </w:t>
      </w:r>
      <w:r>
        <w:t xml:space="preserve">между точками начала </w:t>
      </w:r>
      <w:proofErr w:type="spellStart"/>
      <w:r>
        <w:t>скругления</w:t>
      </w:r>
      <w:proofErr w:type="spellEnd"/>
      <w:r>
        <w:t xml:space="preserve"> </w:t>
      </w:r>
      <w:r w:rsidRPr="00C66CC1">
        <w:t>бу</w:t>
      </w:r>
      <w:r>
        <w:t xml:space="preserve">дет зависеть от </w:t>
      </w:r>
      <w:r w:rsidRPr="00C66CC1">
        <w:t>ш</w:t>
      </w:r>
      <w:r>
        <w:t>ирины</w:t>
      </w:r>
      <w:r>
        <w:t xml:space="preserve"> столешницы и от радиуса </w:t>
      </w:r>
      <w:proofErr w:type="spellStart"/>
      <w:r>
        <w:t>скругления</w:t>
      </w:r>
      <w:proofErr w:type="spellEnd"/>
      <w:r w:rsidR="0038361F" w:rsidRPr="0038361F">
        <w:t>;</w:t>
      </w:r>
    </w:p>
    <w:p w14:paraId="00000057" w14:textId="7868BB7F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proofErr w:type="spellStart"/>
      <w:r>
        <w:t>скругления</w:t>
      </w:r>
      <w:proofErr w:type="spellEnd"/>
      <w:r>
        <w:t xml:space="preserve">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</w:t>
      </w:r>
      <w:r w:rsidR="00F12A71">
        <w:t>высоты</w:t>
      </w:r>
      <w:r w:rsidR="00F12A71">
        <w:t xml:space="preserve"> стола</w:t>
      </w:r>
      <w:r w:rsidR="00F12A71" w:rsidRPr="00F12A71">
        <w:t>.</w:t>
      </w:r>
    </w:p>
    <w:p w14:paraId="00000058" w14:textId="0358A56D" w:rsidR="00547E61" w:rsidRDefault="0023795D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</w:t>
      </w:r>
      <w:r>
        <w:t xml:space="preserve">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lastRenderedPageBreak/>
        <w:t xml:space="preserve">правильности ввода данных. Если данные некорректные, </w:t>
      </w:r>
      <w:r>
        <w:t xml:space="preserve">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</w:t>
      </w:r>
      <w:r>
        <w:t>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>
      <w:pPr>
        <w:ind w:firstLine="720"/>
      </w:pPr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>
      <w:pPr>
        <w:ind w:firstLine="720"/>
      </w:pPr>
      <w:r>
        <w:t>Пользовательские интерфейсы</w:t>
      </w:r>
      <w:r>
        <w:t xml:space="preserve">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Windows</w:t>
      </w:r>
      <w:proofErr w:type="spellEnd"/>
      <w:r>
        <w:t xml:space="preserve"> 10 и выше.</w:t>
      </w:r>
    </w:p>
    <w:p w14:paraId="00000066" w14:textId="77777777" w:rsidR="00547E61" w:rsidRDefault="0023795D">
      <w:pPr>
        <w:ind w:firstLine="0"/>
      </w:pPr>
      <w:r>
        <w:lastRenderedPageBreak/>
        <w:t xml:space="preserve">Интерфейсы </w:t>
      </w:r>
      <w:r>
        <w:t>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</w:t>
      </w:r>
      <w:r>
        <w:t>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</w:t>
      </w:r>
      <w:r>
        <w:t>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</w:t>
      </w:r>
      <w:r>
        <w:t>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>
      <w:pPr>
        <w:ind w:left="576" w:firstLine="0"/>
      </w:pPr>
      <w:r>
        <w:t xml:space="preserve">Столешница </w:t>
      </w:r>
      <w:r>
        <w:t>—</w:t>
      </w:r>
      <w:r>
        <w:t xml:space="preserve">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1D8B4331" w:rsidR="00547E61" w:rsidRPr="00972E5A" w:rsidRDefault="0023795D" w:rsidP="00972E5A">
      <w:pPr>
        <w:ind w:left="576" w:firstLine="0"/>
      </w:pPr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 w:rsidR="00972E5A" w:rsidRPr="00972E5A">
        <w:t xml:space="preserve"> </w:t>
      </w:r>
      <w:r w:rsidR="00972E5A">
        <w:t>КОМПАС-3D</w:t>
      </w:r>
      <w:r w:rsidR="00972E5A">
        <w:t xml:space="preserve">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</w:t>
      </w:r>
      <w:r>
        <w:t>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</w:t>
      </w:r>
      <w:r>
        <w:t>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>При выборе программного обеспечения необходимо отдавать предпочтение платфо</w:t>
      </w:r>
      <w:r>
        <w:t xml:space="preserve">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77777777" w:rsidR="00547E61" w:rsidRDefault="0023795D">
      <w:pPr>
        <w:ind w:firstLine="0"/>
      </w:pPr>
      <w:proofErr w:type="gramStart"/>
      <w:r>
        <w:t>Помимо этого</w:t>
      </w:r>
      <w:proofErr w:type="gramEnd"/>
      <w:r>
        <w:t xml:space="preserve"> разработанная систем</w:t>
      </w:r>
      <w:r>
        <w:t xml:space="preserve">а должна работать на ПК с ОС </w:t>
      </w:r>
      <w:proofErr w:type="spellStart"/>
      <w:r>
        <w:t>Windows</w:t>
      </w:r>
      <w:proofErr w:type="spellEnd"/>
      <w:r>
        <w:t xml:space="preserve"> версии 10 и старше и разрядностью х64 с NET </w:t>
      </w:r>
      <w:proofErr w:type="spellStart"/>
      <w:r>
        <w:t>Framework</w:t>
      </w:r>
      <w:proofErr w:type="spellEnd"/>
      <w:r>
        <w:t xml:space="preserve"> 4.7.2.</w:t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 xml:space="preserve">графический процессор с объемом памяти 1 ГБ, пропускной способностью 29 ГБ/с и поддержкой </w:t>
      </w:r>
      <w:proofErr w:type="spellStart"/>
      <w:r>
        <w:t>DirectX</w:t>
      </w:r>
      <w:proofErr w:type="spellEnd"/>
      <w:r>
        <w:t xml:space="preserve">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547E61" w:rsidRDefault="0023795D">
      <w:pPr>
        <w:ind w:firstLine="720"/>
      </w:pPr>
      <w:r>
        <w:lastRenderedPageBreak/>
        <w:t xml:space="preserve">Дополнительные </w:t>
      </w:r>
      <w:proofErr w:type="gramStart"/>
      <w:r>
        <w:t>требования  к</w:t>
      </w:r>
      <w:proofErr w:type="gramEnd"/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</w:t>
      </w:r>
      <w:r>
        <w:t>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>КОМПАС-3D</w:t>
      </w:r>
      <w:r w:rsidR="00972E5A">
        <w:t xml:space="preserve">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</w:t>
            </w:r>
            <w:r>
              <w:rPr>
                <w:b/>
              </w:rPr>
              <w:t>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 w:line="240" w:lineRule="auto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 w:line="240" w:lineRule="auto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  <w:r>
              <w:t xml:space="preserve">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 w:line="240" w:lineRule="auto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 w:line="240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rPr>
                <w:color w:val="000000"/>
              </w:rPr>
              <w:t xml:space="preserve">RSDN </w:t>
            </w:r>
            <w:proofErr w:type="spellStart"/>
            <w:r>
              <w:rPr>
                <w:color w:val="000000"/>
              </w:rPr>
              <w:t>Magazine</w:t>
            </w:r>
            <w:proofErr w:type="spellEnd"/>
            <w:r>
              <w:rPr>
                <w:color w:val="000000"/>
              </w:rPr>
              <w:t xml:space="preserve">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 w:line="240" w:lineRule="auto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7777777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</w:t>
      </w:r>
      <w:r>
        <w:t>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19" w:name="_heading=h.z337ya" w:colFirst="0" w:colLast="0"/>
      <w:bookmarkEnd w:id="19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</w:t>
      </w:r>
      <w:r>
        <w:rPr>
          <w:color w:val="000000"/>
        </w:rPr>
        <w:t>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0" w:name="_heading=h.3j2qqm3" w:colFirst="0" w:colLast="0"/>
      <w:bookmarkEnd w:id="20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1" w:name="_heading=h.1y810tw" w:colFirst="0" w:colLast="0"/>
      <w:bookmarkEnd w:id="21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A" w14:textId="77777777" w:rsidR="00547E61" w:rsidRDefault="00547E61"/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2" w14:textId="77777777" w:rsidR="00547E61" w:rsidRDefault="0023795D">
      <w:pPr>
        <w:pStyle w:val="2"/>
        <w:numPr>
          <w:ilvl w:val="1"/>
          <w:numId w:val="5"/>
        </w:numPr>
      </w:pPr>
      <w:bookmarkStart w:id="22" w:name="_heading=h.4i7ojhp" w:colFirst="0" w:colLast="0"/>
      <w:bookmarkEnd w:id="22"/>
      <w:r>
        <w:t>Общие требования к приёмке работ по стадиям</w:t>
      </w:r>
    </w:p>
    <w:p w14:paraId="000000F3" w14:textId="77777777" w:rsidR="00547E61" w:rsidRDefault="00547E61"/>
    <w:p w14:paraId="000000F4" w14:textId="77777777" w:rsidR="00547E61" w:rsidRDefault="0023795D">
      <w:r>
        <w:t>Приёмка результатов</w:t>
      </w:r>
      <w:r>
        <w:t xml:space="preserve">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</w:t>
      </w:r>
      <w:r>
        <w:t>бот и процесс передачи системы в эксплуатацию.</w:t>
      </w:r>
    </w:p>
    <w:p w14:paraId="000000F7" w14:textId="77777777" w:rsidR="00547E61" w:rsidRDefault="0023795D">
      <w:r>
        <w:lastRenderedPageBreak/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3" w:name="_heading=h.2xcytpi" w:colFirst="0" w:colLast="0"/>
      <w:bookmarkEnd w:id="23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77777777" w:rsidR="00547E61" w:rsidRDefault="0023795D">
      <w:r>
        <w:t xml:space="preserve">Отчётная документация должна передаваться Заказчику </w:t>
      </w:r>
      <w:proofErr w:type="gramStart"/>
      <w:r>
        <w:t>в  электронном</w:t>
      </w:r>
      <w:proofErr w:type="gramEnd"/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4" w:name="_heading=h.1ci93xb" w:colFirst="0" w:colLast="0"/>
      <w:bookmarkEnd w:id="24"/>
      <w:r>
        <w:t xml:space="preserve">Перечень подлежащих разработке </w:t>
      </w:r>
      <w:r>
        <w:t>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</w:t>
      </w:r>
      <w:r>
        <w:t>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</w:t>
      </w:r>
      <w:r>
        <w:t xml:space="preserve">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</w:t>
      </w:r>
      <w:r>
        <w:t>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— Томск :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</w:t>
      </w:r>
      <w:r>
        <w:t>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</w:t>
      </w:r>
      <w:r>
        <w:t>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</w:t>
      </w:r>
      <w:r>
        <w:t>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</w:t>
      </w:r>
      <w:r>
        <w:t>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4CE5" w14:textId="77777777" w:rsidR="0023795D" w:rsidRDefault="0023795D">
      <w:pPr>
        <w:spacing w:line="240" w:lineRule="auto"/>
      </w:pPr>
      <w:r>
        <w:separator/>
      </w:r>
    </w:p>
  </w:endnote>
  <w:endnote w:type="continuationSeparator" w:id="0">
    <w:p w14:paraId="21ACA998" w14:textId="77777777" w:rsidR="0023795D" w:rsidRDefault="00237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AA0A" w14:textId="77777777" w:rsidR="0023795D" w:rsidRDefault="0023795D">
      <w:pPr>
        <w:spacing w:line="240" w:lineRule="auto"/>
      </w:pPr>
      <w:r>
        <w:separator/>
      </w:r>
    </w:p>
  </w:footnote>
  <w:footnote w:type="continuationSeparator" w:id="0">
    <w:p w14:paraId="2CF56B7F" w14:textId="77777777" w:rsidR="0023795D" w:rsidRDefault="00237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17387F"/>
    <w:rsid w:val="0023795D"/>
    <w:rsid w:val="003215FA"/>
    <w:rsid w:val="0038361F"/>
    <w:rsid w:val="00547E61"/>
    <w:rsid w:val="00562BC0"/>
    <w:rsid w:val="005867FA"/>
    <w:rsid w:val="00676C58"/>
    <w:rsid w:val="007476F1"/>
    <w:rsid w:val="00967AB1"/>
    <w:rsid w:val="00972E5A"/>
    <w:rsid w:val="009C19C9"/>
    <w:rsid w:val="009D08FD"/>
    <w:rsid w:val="00C66CC1"/>
    <w:rsid w:val="00C757CE"/>
    <w:rsid w:val="00F1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Microsoft Office User</cp:lastModifiedBy>
  <cp:revision>2</cp:revision>
  <dcterms:created xsi:type="dcterms:W3CDTF">2025-09-28T09:57:00Z</dcterms:created>
  <dcterms:modified xsi:type="dcterms:W3CDTF">2025-09-28T09:57:00Z</dcterms:modified>
</cp:coreProperties>
</file>