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E7068"/>
        </w:rPr>
        <w:t>ADR-002: How we recommend Orbit Corp runs AskIT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2"/>
      </w:tblGrid>
      <w:tr>
        <w:tc>
          <w:tcPr>
            <w:tcW w:type="dxa" w:w="2268"/>
            <w:shd w:val="clear" w:color="auto" w:fill="0E7068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2472"/>
            <w:shd w:val="clear" w:color="auto" w:fill="0E7068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12472"/>
          </w:tcPr>
          <w:p>
            <w:r/>
            <w:r>
              <w:t>v1   (change to v2 in the second file)</w:t>
            </w:r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2472"/>
          </w:tcPr>
          <w:p>
            <w:r/>
            <w:r>
              <w:t>Proposed</w:t>
            </w:r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Team</w:t>
            </w:r>
          </w:p>
        </w:tc>
        <w:tc>
          <w:tcPr>
            <w:tcW w:type="dxa" w:w="12472"/>
          </w:tcPr>
          <w:p>
            <w:r/>
            <w:r>
              <w:t>Team ___   Scribe: ____________</w:t>
            </w:r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2472"/>
          </w:tcPr>
          <w:p>
            <w:r/>
            <w:r>
              <w:t>____________</w:t>
            </w:r>
          </w:p>
        </w:tc>
      </w:tr>
    </w:tbl>
    <w:p/>
    <w:p>
      <w:r>
        <w:rPr>
          <w:b/>
          <w:i w:val="0"/>
        </w:rPr>
        <w:t>What changed and why (v2 only; delete this box in v1)</w:t>
      </w:r>
    </w:p>
    <w:p>
      <w:r>
        <w:rPr>
          <w:b w:val="0"/>
          <w:i/>
        </w:rPr>
        <w:t>2 lines: what the update was, and which rows you changed.</w:t>
        <w:br/>
        <w:br/>
      </w:r>
    </w:p>
    <w:p>
      <w:pPr>
        <w:pStyle w:val="Heading1"/>
      </w:pPr>
      <w:r>
        <w:rPr>
          <w:rFonts w:ascii="Calibri" w:hAnsi="Calibri"/>
          <w:color w:val="0E7068"/>
        </w:rPr>
        <w:t>1. Our understanding of the customer (2 lines, your own words)</w:t>
      </w:r>
    </w:p>
    <w:p>
      <w:r>
        <w:rPr>
          <w:b w:val="0"/>
          <w:i/>
        </w:rPr>
        <w:t>What do they need, and what are the 2 hardest constraints?</w:t>
      </w:r>
    </w:p>
    <w:p>
      <w:r>
        <w:rPr>
          <w:b w:val="0"/>
          <w:i w:val="0"/>
        </w:rPr>
        <w:br/>
      </w:r>
    </w:p>
    <w:p>
      <w:pPr>
        <w:pStyle w:val="Heading1"/>
      </w:pPr>
      <w:r>
        <w:rPr>
          <w:rFonts w:ascii="Calibri" w:hAnsi="Calibri"/>
          <w:color w:val="0E7068"/>
        </w:rPr>
        <w:t>2. Top 3 decision drivers</w:t>
      </w:r>
    </w:p>
    <w:p>
      <w:r>
        <w:rPr>
          <w:b w:val="0"/>
          <w:i w:val="0"/>
        </w:rPr>
        <w:t>1.</w:t>
        <w:br/>
        <w:t>2.</w:t>
        <w:br/>
        <w:t>3.</w:t>
      </w:r>
    </w:p>
    <w:p>
      <w:pPr>
        <w:pStyle w:val="Heading1"/>
      </w:pPr>
      <w:r>
        <w:rPr>
          <w:rFonts w:ascii="Calibri" w:hAnsi="Calibri"/>
          <w:color w:val="0E7068"/>
        </w:rPr>
        <w:t>3. Decision table: one row per layer of the stack</w:t>
      </w:r>
    </w:p>
    <w:p>
      <w:r>
        <w:rPr>
          <w:b w:val="0"/>
          <w:i/>
        </w:rPr>
        <w:t>Pick a letter from the menu (or write your own mix). In the last column write why, and what we give up, in one line.</w:t>
      </w:r>
    </w:p>
    <w:p>
      <w:r>
        <w:rPr>
          <w:b/>
          <w:i w:val="0"/>
        </w:rPr>
        <w:t>Must do (5 rows)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  <w:gridCol w:w="1417"/>
        <w:gridCol w:w="4819"/>
      </w:tblGrid>
      <w:tr>
        <w:tc>
          <w:tcPr>
            <w:tcW w:type="dxa" w:w="2268"/>
            <w:shd w:val="clear" w:color="auto" w:fill="0E7068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6520"/>
            <w:shd w:val="clear" w:color="auto" w:fill="0E7068"/>
          </w:tcPr>
          <w:p>
            <w:r/>
            <w:r>
              <w:rPr>
                <w:b/>
                <w:color w:val="FFFFFF"/>
              </w:rPr>
              <w:t>Menu of options (pick one)</w:t>
            </w:r>
          </w:p>
        </w:tc>
        <w:tc>
          <w:tcPr>
            <w:tcW w:type="dxa" w:w="1417"/>
            <w:shd w:val="clear" w:color="auto" w:fill="0E7068"/>
          </w:tcPr>
          <w:p>
            <w:r/>
            <w:r>
              <w:rPr>
                <w:b/>
                <w:color w:val="FFFFFF"/>
              </w:rPr>
              <w:t>Our pick</w:t>
            </w:r>
          </w:p>
        </w:tc>
        <w:tc>
          <w:tcPr>
            <w:tcW w:type="dxa" w:w="4819"/>
            <w:shd w:val="clear" w:color="auto" w:fill="0E7068"/>
          </w:tcPr>
          <w:p>
            <w:r/>
            <w:r>
              <w:rPr>
                <w:b/>
                <w:color w:val="FFFFFF"/>
              </w:rPr>
              <w:t>Why, and what we give up</w:t>
            </w:r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Hosting the agent</w:t>
            </w:r>
          </w:p>
        </w:tc>
        <w:tc>
          <w:tcPr>
            <w:tcW w:type="dxa" w:w="6520"/>
          </w:tcPr>
          <w:p>
            <w:r/>
            <w:r>
              <w:t>A  AgentCore Runtime</w:t>
              <w:br/>
              <w:t>B  Containers on ECS/Fargate</w:t>
              <w:br/>
              <w:t>C  Containers on the existing EKS cluster</w:t>
              <w:br/>
              <w:t>D  Keep VMs and add a backup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Knowledge (RAG)</w:t>
            </w:r>
          </w:p>
        </w:tc>
        <w:tc>
          <w:tcPr>
            <w:tcW w:type="dxa" w:w="6520"/>
          </w:tcPr>
          <w:p>
            <w:r/>
            <w:r>
              <w:t>A  Managed knowledge base (Bedrock Knowledge Bases)</w:t>
              <w:br/>
              <w:t>B  Our own vector store (OpenSearch / pgvector) with our own pipeline</w:t>
              <w:br/>
              <w:t>C  Keyword search only</w:t>
              <w:br/>
              <w:t>D  Hybrid search + reranker</w:t>
              <w:br/>
              <w:t>Think: freshness, per-document access, cost, who maintains it.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Tools (MCP / Gateway)</w:t>
            </w:r>
          </w:p>
        </w:tc>
        <w:tc>
          <w:tcPr>
            <w:tcW w:type="dxa" w:w="6520"/>
          </w:tcPr>
          <w:p>
            <w:r/>
            <w:r>
              <w:t>A  AgentCore Gateway in front of the systems</w:t>
              <w:br/>
              <w:t>B  Our own MCP server that we run</w:t>
              <w:br/>
              <w:t>C  Call the APIs directly inside the agent code</w:t>
              <w:br/>
              <w:t>Think: one place for access and audit vs speed and control.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Guardrails and policy</w:t>
            </w:r>
          </w:p>
        </w:tc>
        <w:tc>
          <w:tcPr>
            <w:tcW w:type="dxa" w:w="6520"/>
          </w:tcPr>
          <w:p>
            <w:r/>
            <w:r>
              <w:t>A  Instructions in the prompt only</w:t>
              <w:br/>
              <w:t>B  Managed content filters (Bedrock Guardrails)</w:t>
              <w:br/>
              <w:t>C  Policy at the Gateway (AgentCore Policy)</w:t>
              <w:br/>
              <w:t>D  Checks inside each tool</w:t>
              <w:br/>
              <w:t>E  A mix (say which)</w:t>
              <w:br/>
              <w:t>Think: which rule must never be broken?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Observability and evaluation</w:t>
            </w:r>
          </w:p>
        </w:tc>
        <w:tc>
          <w:tcPr>
            <w:tcW w:type="dxa" w:w="6520"/>
          </w:tcPr>
          <w:p>
            <w:r/>
            <w:r>
              <w:t>A  AgentCore Observability + CloudWatch</w:t>
              <w:br/>
              <w:t>B  A tracing tool (Langfuse / LangSmith)</w:t>
              <w:br/>
              <w:t>C  Both</w:t>
              <w:br/>
              <w:t>D  Offline evaluation before each release (RAGAS / DeepEval style)</w:t>
              <w:br/>
              <w:t>E  Online sampling of live answers</w:t>
              <w:br/>
              <w:t>Think: who debugs at 3 am, and how do we know quality has not dropped?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</w:tbl>
    <w:p/>
    <w:p>
      <w:r>
        <w:rPr>
          <w:b/>
          <w:i w:val="0"/>
        </w:rPr>
        <w:t>If time allows (3 rows)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  <w:gridCol w:w="1417"/>
        <w:gridCol w:w="4819"/>
      </w:tblGrid>
      <w:tr>
        <w:tc>
          <w:tcPr>
            <w:tcW w:type="dxa" w:w="2268"/>
            <w:shd w:val="clear" w:color="auto" w:fill="0E7068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6520"/>
            <w:shd w:val="clear" w:color="auto" w:fill="0E7068"/>
          </w:tcPr>
          <w:p>
            <w:r/>
            <w:r>
              <w:rPr>
                <w:b/>
                <w:color w:val="FFFFFF"/>
              </w:rPr>
              <w:t>Menu of options (pick one)</w:t>
            </w:r>
          </w:p>
        </w:tc>
        <w:tc>
          <w:tcPr>
            <w:tcW w:type="dxa" w:w="1417"/>
            <w:shd w:val="clear" w:color="auto" w:fill="0E7068"/>
          </w:tcPr>
          <w:p>
            <w:r/>
            <w:r>
              <w:rPr>
                <w:b/>
                <w:color w:val="FFFFFF"/>
              </w:rPr>
              <w:t>Our pick</w:t>
            </w:r>
          </w:p>
        </w:tc>
        <w:tc>
          <w:tcPr>
            <w:tcW w:type="dxa" w:w="4819"/>
            <w:shd w:val="clear" w:color="auto" w:fill="0E7068"/>
          </w:tcPr>
          <w:p>
            <w:r/>
            <w:r>
              <w:rPr>
                <w:b/>
                <w:color w:val="FFFFFF"/>
              </w:rPr>
              <w:t>Why, and what we give up</w:t>
            </w:r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6520"/>
          </w:tcPr>
          <w:p>
            <w:r/>
            <w:r>
              <w:t>A  One small, cheap model</w:t>
              <w:br/>
              <w:t>B  One large model</w:t>
              <w:br/>
              <w:t>C  Small model first, large model for hard questions (routing)</w:t>
              <w:br/>
              <w:t>D  A model hosted only in the EU region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Identity</w:t>
            </w:r>
          </w:p>
        </w:tc>
        <w:tc>
          <w:tcPr>
            <w:tcW w:type="dxa" w:w="6520"/>
          </w:tcPr>
          <w:p>
            <w:r/>
            <w:r>
              <w:t>A  The agent uses its own account for everything</w:t>
              <w:br/>
              <w:t>B  The agent acts as the logged-in user (company login)</w:t>
              <w:br/>
              <w:t>C  Mix: its own account for reads, the user's rights for changes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  <w:tr>
        <w:tc>
          <w:tcPr>
            <w:tcW w:type="dxa" w:w="2268"/>
            <w:shd w:val="clear" w:color="auto" w:fill="E8F3F2"/>
          </w:tcPr>
          <w:p>
            <w:r/>
            <w:r>
              <w:rPr>
                <w:b/>
              </w:rPr>
              <w:t>Cost and release</w:t>
            </w:r>
          </w:p>
        </w:tc>
        <w:tc>
          <w:tcPr>
            <w:tcW w:type="dxa" w:w="6520"/>
          </w:tcPr>
          <w:p>
            <w:r/>
            <w:r>
              <w:t>A  Release directly</w:t>
              <w:br/>
              <w:t>B  Versions and a test endpoint, then switch over</w:t>
              <w:br/>
              <w:t>C  Also budget alarms and a daily question limit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4819"/>
          </w:tcPr>
          <w:p>
            <w:r/>
            <w:r/>
          </w:p>
        </w:tc>
      </w:tr>
    </w:tbl>
    <w:p/>
    <w:p>
      <w:pPr>
        <w:pStyle w:val="Heading1"/>
      </w:pPr>
      <w:r>
        <w:rPr>
          <w:rFonts w:ascii="Calibri" w:hAnsi="Calibri"/>
          <w:color w:val="0E7068"/>
        </w:rPr>
        <w:t>4. Our recommendation to the customer</w:t>
      </w:r>
    </w:p>
    <w:p>
      <w:r>
        <w:rPr>
          <w:b w:val="0"/>
          <w:i w:val="0"/>
        </w:rPr>
        <w:t xml:space="preserve">We recommend </w:t>
      </w:r>
      <w:r>
        <w:rPr>
          <w:i/>
        </w:rPr>
        <w:t>(one sentence)</w:t>
      </w:r>
      <w:r>
        <w:t xml:space="preserve">  because  </w:t>
      </w:r>
      <w:r>
        <w:rPr>
          <w:i/>
        </w:rPr>
        <w:t>(top 2 reasons)</w:t>
      </w:r>
      <w:r>
        <w:t>.</w:t>
      </w:r>
    </w:p>
    <w:p>
      <w:r>
        <w:rPr>
          <w:b w:val="0"/>
          <w:i w:val="0"/>
        </w:rPr>
        <w:br/>
      </w:r>
    </w:p>
    <w:p>
      <w:r>
        <w:rPr>
          <w:b/>
          <w:i w:val="0"/>
        </w:rPr>
        <w:t>Three trade-offs we would say out loud on the call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  <w:gridCol w:w="4932"/>
      </w:tblGrid>
      <w:tr>
        <w:tc>
          <w:tcPr>
            <w:tcW w:type="dxa" w:w="4932"/>
            <w:shd w:val="clear" w:color="auto" w:fill="0E7068"/>
          </w:tcPr>
          <w:p>
            <w:r/>
            <w:r>
              <w:rPr>
                <w:b/>
                <w:color w:val="FFFFFF"/>
              </w:rPr>
              <w:t>You get</w:t>
            </w:r>
          </w:p>
        </w:tc>
        <w:tc>
          <w:tcPr>
            <w:tcW w:type="dxa" w:w="4932"/>
            <w:shd w:val="clear" w:color="auto" w:fill="0E7068"/>
          </w:tcPr>
          <w:p>
            <w:r/>
            <w:r>
              <w:rPr>
                <w:b/>
                <w:color w:val="FFFFFF"/>
              </w:rPr>
              <w:t>You give up</w:t>
            </w:r>
          </w:p>
        </w:tc>
        <w:tc>
          <w:tcPr>
            <w:tcW w:type="dxa" w:w="4932"/>
            <w:shd w:val="clear" w:color="auto" w:fill="0E7068"/>
          </w:tcPr>
          <w:p>
            <w:r/>
            <w:r>
              <w:rPr>
                <w:b/>
                <w:color w:val="FFFFFF"/>
              </w:rPr>
              <w:t>Because</w:t>
            </w:r>
          </w:p>
        </w:tc>
      </w:tr>
      <w:tr>
        <w:tc>
          <w:tcPr>
            <w:tcW w:type="dxa" w:w="4932"/>
            <w:shd w:val="clear" w:color="auto" w:fill="E8F3F2"/>
          </w:tcPr>
          <w:p>
            <w:r/>
            <w:r/>
          </w:p>
        </w:tc>
        <w:tc>
          <w:tcPr>
            <w:tcW w:type="dxa" w:w="4932"/>
          </w:tcPr>
          <w:p>
            <w:r/>
            <w:r/>
          </w:p>
        </w:tc>
        <w:tc>
          <w:tcPr>
            <w:tcW w:type="dxa" w:w="4932"/>
          </w:tcPr>
          <w:p>
            <w:r/>
            <w:r/>
          </w:p>
        </w:tc>
      </w:tr>
      <w:tr>
        <w:tc>
          <w:tcPr>
            <w:tcW w:type="dxa" w:w="4932"/>
            <w:shd w:val="clear" w:color="auto" w:fill="E8F3F2"/>
          </w:tcPr>
          <w:p>
            <w:r/>
            <w:r/>
          </w:p>
        </w:tc>
        <w:tc>
          <w:tcPr>
            <w:tcW w:type="dxa" w:w="4932"/>
          </w:tcPr>
          <w:p>
            <w:r/>
            <w:r/>
          </w:p>
        </w:tc>
        <w:tc>
          <w:tcPr>
            <w:tcW w:type="dxa" w:w="4932"/>
          </w:tcPr>
          <w:p>
            <w:r/>
            <w:r/>
          </w:p>
        </w:tc>
      </w:tr>
      <w:tr>
        <w:tc>
          <w:tcPr>
            <w:tcW w:type="dxa" w:w="4932"/>
            <w:shd w:val="clear" w:color="auto" w:fill="E8F3F2"/>
          </w:tcPr>
          <w:p>
            <w:r/>
            <w:r/>
          </w:p>
        </w:tc>
        <w:tc>
          <w:tcPr>
            <w:tcW w:type="dxa" w:w="4932"/>
          </w:tcPr>
          <w:p>
            <w:r/>
            <w:r/>
          </w:p>
        </w:tc>
        <w:tc>
          <w:tcPr>
            <w:tcW w:type="dxa" w:w="4932"/>
          </w:tcPr>
          <w:p>
            <w:r/>
            <w:r/>
          </w:p>
        </w:tc>
      </w:tr>
    </w:tbl>
    <w:p/>
    <w:p>
      <w:pPr>
        <w:pStyle w:val="Heading1"/>
      </w:pPr>
      <w:r>
        <w:rPr>
          <w:rFonts w:ascii="Calibri" w:hAnsi="Calibri"/>
          <w:color w:val="0E7068"/>
        </w:rPr>
        <w:t>5. Biggest risk and how we reduce it</w:t>
      </w:r>
    </w:p>
    <w:p>
      <w:r>
        <w:rPr>
          <w:b w:val="0"/>
          <w:i w:val="0"/>
        </w:rPr>
        <w:br/>
      </w:r>
    </w:p>
    <w:p>
      <w:pPr>
        <w:pStyle w:val="Heading1"/>
      </w:pPr>
      <w:r>
        <w:rPr>
          <w:rFonts w:ascii="Calibri" w:hAnsi="Calibri"/>
          <w:color w:val="0E7068"/>
        </w:rPr>
        <w:t>6. Go or no-go</w:t>
      </w:r>
    </w:p>
    <w:p>
      <w:r>
        <w:rPr>
          <w:b/>
          <w:i w:val="0"/>
        </w:rPr>
        <w:t>Our answer:   GO   /   NO-GO   /   GO WITH CONDITIONS</w:t>
      </w:r>
    </w:p>
    <w:p>
      <w:r>
        <w:rPr>
          <w:b w:val="0"/>
          <w:i w:val="0"/>
        </w:rPr>
        <w:t>Conditions (1 to 3, each one checkable):</w:t>
        <w:br/>
        <w:t>1.</w:t>
        <w:br/>
        <w:t>2.</w:t>
        <w:br/>
        <w:t>3.</w:t>
      </w:r>
    </w:p>
    <w:p>
      <w:r>
        <w:rPr>
          <w:b w:val="0"/>
          <w:i w:val="0"/>
        </w:rPr>
        <w:t>What drives the cost, and one question we would ask the customer about it:</w:t>
        <w:br/>
        <w:br/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