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A5F60F2" w14:textId="77777777" w:rsidR="00A21D58" w:rsidRDefault="008C0D5D">
      <w:r w:rsidRPr="00867355">
        <w:rPr>
          <w:b/>
          <w:bCs/>
        </w:rPr>
        <w:t>Coding sample description</w:t>
      </w:r>
      <w:r>
        <w:t>:</w:t>
      </w:r>
    </w:p>
    <w:p w14:paraId="468FF596" w14:textId="77777777" w:rsidR="00A21D58" w:rsidRDefault="00A21D58"/>
    <w:p w14:paraId="073CDF88" w14:textId="181707B9" w:rsidR="00C1578E" w:rsidRDefault="008C0D5D">
      <w:r>
        <w:t xml:space="preserve"> </w:t>
      </w:r>
      <w:r w:rsidR="004F54BB">
        <w:t xml:space="preserve">To build an analytical data set for drug comparators, </w:t>
      </w:r>
      <w:r w:rsidR="00C72A7E">
        <w:t>we</w:t>
      </w:r>
      <w:r w:rsidR="004F54BB">
        <w:t xml:space="preserve"> must create “abuse” variables given specific drugs classified</w:t>
      </w:r>
      <w:r w:rsidR="00C72A7E">
        <w:t>. If one of the drugs belonging to the comparator has an abuse response (i.e., equal to one), then the drug comparator group will take on a value of one.</w:t>
      </w:r>
    </w:p>
    <w:p w14:paraId="6A52688A" w14:textId="76817762" w:rsidR="00C72A7E" w:rsidRDefault="00C72A7E"/>
    <w:tbl>
      <w:tblPr>
        <w:tblW w:w="10820" w:type="dxa"/>
        <w:tblInd w:w="-740" w:type="dxa"/>
        <w:tblLook w:val="04A0" w:firstRow="1" w:lastRow="0" w:firstColumn="1" w:lastColumn="0" w:noHBand="0" w:noVBand="1"/>
      </w:tblPr>
      <w:tblGrid>
        <w:gridCol w:w="2800"/>
        <w:gridCol w:w="5320"/>
        <w:gridCol w:w="2700"/>
      </w:tblGrid>
      <w:tr w:rsidR="00C72A7E" w:rsidRPr="00C72A7E" w14:paraId="50874BDF" w14:textId="77777777" w:rsidTr="00C72A7E">
        <w:trPr>
          <w:trHeight w:val="300"/>
        </w:trPr>
        <w:tc>
          <w:tcPr>
            <w:tcW w:w="2800" w:type="dxa"/>
            <w:vMerge w:val="restart"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shd w:val="clear" w:color="auto" w:fill="auto"/>
            <w:vAlign w:val="center"/>
            <w:hideMark/>
          </w:tcPr>
          <w:p w14:paraId="555A0A53" w14:textId="77777777" w:rsidR="00C72A7E" w:rsidRPr="00C72A7E" w:rsidRDefault="00C72A7E" w:rsidP="00C72A7E">
            <w:pPr>
              <w:spacing w:after="0" w:line="240" w:lineRule="auto"/>
              <w:jc w:val="center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opioids_adf_label</w:t>
            </w:r>
          </w:p>
        </w:tc>
        <w:tc>
          <w:tcPr>
            <w:tcW w:w="532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7A4AFC19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Reformulated OxyContin</w:t>
            </w:r>
          </w:p>
        </w:tc>
        <w:tc>
          <w:tcPr>
            <w:tcW w:w="2700" w:type="dxa"/>
            <w:tcBorders>
              <w:top w:val="single" w:sz="4" w:space="0" w:color="auto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29B64524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OP1F</w:t>
            </w:r>
          </w:p>
        </w:tc>
      </w:tr>
      <w:tr w:rsidR="00C72A7E" w:rsidRPr="00C72A7E" w14:paraId="64E98C7F" w14:textId="77777777" w:rsidTr="00C72A7E">
        <w:trPr>
          <w:trHeight w:val="300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1768306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A8D754A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Xtampza 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D97851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OP1M</w:t>
            </w:r>
          </w:p>
        </w:tc>
      </w:tr>
      <w:tr w:rsidR="00C72A7E" w:rsidRPr="00C72A7E" w14:paraId="2113190B" w14:textId="77777777" w:rsidTr="00C72A7E">
        <w:trPr>
          <w:trHeight w:val="300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EBFD281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FFB8E0E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Hysingla 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0859E35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OP3I</w:t>
            </w:r>
          </w:p>
        </w:tc>
      </w:tr>
      <w:tr w:rsidR="00C72A7E" w:rsidRPr="00C72A7E" w14:paraId="184BEC00" w14:textId="77777777" w:rsidTr="00C72A7E">
        <w:trPr>
          <w:trHeight w:val="300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74B480E7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BC21551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EMBEDA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6FB89C2A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OP8H</w:t>
            </w:r>
          </w:p>
        </w:tc>
      </w:tr>
      <w:tr w:rsidR="00C72A7E" w:rsidRPr="00C72A7E" w14:paraId="5121B8FB" w14:textId="77777777" w:rsidTr="00C72A7E">
        <w:trPr>
          <w:trHeight w:val="300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33A96F7A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6266CFF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Oxaydo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B3025AB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OP16G</w:t>
            </w:r>
          </w:p>
        </w:tc>
      </w:tr>
      <w:tr w:rsidR="00C72A7E" w:rsidRPr="00C72A7E" w14:paraId="273CF86A" w14:textId="77777777" w:rsidTr="00C72A7E">
        <w:trPr>
          <w:trHeight w:val="300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15C2674D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5E01C0F3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Arymo ER</w:t>
            </w:r>
          </w:p>
        </w:tc>
        <w:tc>
          <w:tcPr>
            <w:tcW w:w="2700" w:type="dxa"/>
            <w:tcBorders>
              <w:top w:val="nil"/>
              <w:left w:val="nil"/>
              <w:bottom w:val="nil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04540B2A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OP8I</w:t>
            </w:r>
          </w:p>
        </w:tc>
      </w:tr>
      <w:tr w:rsidR="00C72A7E" w:rsidRPr="00C72A7E" w14:paraId="121A5DFD" w14:textId="77777777" w:rsidTr="00C72A7E">
        <w:trPr>
          <w:trHeight w:val="300"/>
        </w:trPr>
        <w:tc>
          <w:tcPr>
            <w:tcW w:w="2800" w:type="dxa"/>
            <w:vMerge/>
            <w:tcBorders>
              <w:top w:val="single" w:sz="4" w:space="0" w:color="auto"/>
              <w:left w:val="single" w:sz="4" w:space="0" w:color="auto"/>
              <w:bottom w:val="single" w:sz="4" w:space="0" w:color="000000"/>
              <w:right w:val="single" w:sz="4" w:space="0" w:color="auto"/>
            </w:tcBorders>
            <w:vAlign w:val="center"/>
            <w:hideMark/>
          </w:tcPr>
          <w:p w14:paraId="6912D026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</w:p>
        </w:tc>
        <w:tc>
          <w:tcPr>
            <w:tcW w:w="532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11C83340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Morphabond</w:t>
            </w:r>
          </w:p>
        </w:tc>
        <w:tc>
          <w:tcPr>
            <w:tcW w:w="2700" w:type="dxa"/>
            <w:tcBorders>
              <w:top w:val="nil"/>
              <w:left w:val="nil"/>
              <w:bottom w:val="single" w:sz="4" w:space="0" w:color="auto"/>
              <w:right w:val="single" w:sz="4" w:space="0" w:color="auto"/>
            </w:tcBorders>
            <w:shd w:val="clear" w:color="auto" w:fill="auto"/>
            <w:vAlign w:val="bottom"/>
            <w:hideMark/>
          </w:tcPr>
          <w:p w14:paraId="4862D1E0" w14:textId="77777777" w:rsidR="00C72A7E" w:rsidRPr="00C72A7E" w:rsidRDefault="00C72A7E" w:rsidP="00C72A7E">
            <w:pPr>
              <w:spacing w:after="0" w:line="240" w:lineRule="auto"/>
              <w:rPr>
                <w:rFonts w:ascii="Calibri" w:eastAsia="Times New Roman" w:hAnsi="Calibri" w:cs="Calibri"/>
                <w:color w:val="000000"/>
              </w:rPr>
            </w:pPr>
            <w:r w:rsidRPr="00C72A7E">
              <w:rPr>
                <w:rFonts w:ascii="Calibri" w:eastAsia="Times New Roman" w:hAnsi="Calibri" w:cs="Calibri"/>
                <w:color w:val="000000"/>
              </w:rPr>
              <w:t>OP8J</w:t>
            </w:r>
          </w:p>
        </w:tc>
      </w:tr>
    </w:tbl>
    <w:p w14:paraId="5FCDD11A" w14:textId="77777777" w:rsidR="00C72A7E" w:rsidRDefault="00C72A7E"/>
    <w:p w14:paraId="1C72DE44" w14:textId="455A46F9" w:rsidR="00C72A7E" w:rsidRDefault="00C72A7E">
      <w:r>
        <w:t>The logic would be:</w:t>
      </w:r>
    </w:p>
    <w:p w14:paraId="2019CF0A" w14:textId="1652FD44" w:rsidR="004F54BB" w:rsidRDefault="00C72A7E">
      <w:r>
        <w:t xml:space="preserve">If OP1F_use=1 or OP1M_use=1 or OP3I_use=1 or OP8H_use=1 or OP16G_use=1 or OP8I_use=1 or OP8J_use=1 </w:t>
      </w:r>
      <w:r>
        <w:rPr>
          <w:b/>
          <w:bCs/>
        </w:rPr>
        <w:t xml:space="preserve">THEN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>_abuse=1;</w:t>
      </w:r>
      <w:r w:rsidR="00156CFB">
        <w:rPr>
          <w:rFonts w:ascii="Calibri" w:eastAsia="Times New Roman" w:hAnsi="Calibri" w:cs="Calibri"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else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>_abuse=0;</w:t>
      </w:r>
    </w:p>
    <w:p w14:paraId="41576A03" w14:textId="281B7952" w:rsidR="004F54BB" w:rsidRDefault="00156CFB">
      <w:r>
        <w:t>On</w:t>
      </w:r>
      <w:r w:rsidR="0095101F">
        <w:t xml:space="preserve"> tab A of the specs sheet we see the requested comparator groupings for which we must create the comparator abuse variables.</w:t>
      </w:r>
    </w:p>
    <w:p w14:paraId="410A0CB7" w14:textId="39969EB9" w:rsidR="0095101F" w:rsidRDefault="0095101F"/>
    <w:p w14:paraId="4DA71995" w14:textId="4F62F98D" w:rsidR="0095101F" w:rsidRDefault="0095101F" w:rsidP="0095101F">
      <w:r>
        <w:t xml:space="preserve">Continuing to tab B of the specs sheet, we also see must create route of administration variables (how the patient reported he/her abused the drug). </w:t>
      </w:r>
    </w:p>
    <w:p w14:paraId="2E8AFC08" w14:textId="1BED2793" w:rsidR="0095101F" w:rsidRDefault="0095101F" w:rsidP="0095101F">
      <w:r>
        <w:t>Below are the suffixes corresponding to the ROA abuse variables needed to be created:</w:t>
      </w:r>
    </w:p>
    <w:p w14:paraId="4AD18E26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Swallow whole: R1(name variable: &lt;DRUGname&gt;_swallow)</w:t>
      </w:r>
    </w:p>
    <w:p w14:paraId="64473546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Snort: R2 (name variable: &lt;DRUGname&gt;_snort)</w:t>
      </w:r>
    </w:p>
    <w:p w14:paraId="1AD3A6BC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Smoke: R3 (name variable: &lt;DRUGname&gt;_smoke)</w:t>
      </w:r>
    </w:p>
    <w:p w14:paraId="44B027C7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NonIV inject: R4 (name variable: &lt;DRUGname&gt;_inject_nonIV)</w:t>
      </w:r>
    </w:p>
    <w:p w14:paraId="34F2E0F3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IV inject: R5 (name variable: &lt;DRUGname&gt;_inject_IV)</w:t>
      </w:r>
    </w:p>
    <w:p w14:paraId="64AC9414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Chew: R6 (name variable: &lt;DRUGname&gt;_chew)</w:t>
      </w:r>
    </w:p>
    <w:p w14:paraId="4BB9C03F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Other: R7 (name variable: &lt;DRUGname&gt;_other)</w:t>
      </w:r>
    </w:p>
    <w:p w14:paraId="301109D4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Dissolve: R8 (name variable: &lt;DRUGname&gt;_dissolve)</w:t>
      </w:r>
    </w:p>
    <w:p w14:paraId="18B2D4CC" w14:textId="77777777" w:rsidR="0095101F" w:rsidRPr="0095101F" w:rsidRDefault="0095101F" w:rsidP="0095101F">
      <w:pPr>
        <w:numPr>
          <w:ilvl w:val="1"/>
          <w:numId w:val="1"/>
        </w:numPr>
      </w:pPr>
      <w:r w:rsidRPr="0095101F">
        <w:t>Drank: R9 (name variable: &lt;DRUGname&gt;_drank)</w:t>
      </w:r>
    </w:p>
    <w:p w14:paraId="28356D78" w14:textId="7B70ED69" w:rsidR="0095101F" w:rsidRDefault="0095101F">
      <w:r>
        <w:t>For the swallow variable the logic would be:</w:t>
      </w:r>
    </w:p>
    <w:p w14:paraId="6FAB0729" w14:textId="18F1F987" w:rsidR="00A21D58" w:rsidRDefault="00A21D58" w:rsidP="00A21D58">
      <w:r>
        <w:lastRenderedPageBreak/>
        <w:t xml:space="preserve">If OP1FR1=1 or OP1MR1=1 or OP3IR1=1 or OP8HR1=1 or OP16GR1=1 or OP8IR1=1 or OP8JR1=1 </w:t>
      </w:r>
      <w:r>
        <w:rPr>
          <w:b/>
          <w:bCs/>
        </w:rPr>
        <w:t xml:space="preserve">THEN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 xml:space="preserve">_swallow=1; else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>_swallow=0;</w:t>
      </w:r>
    </w:p>
    <w:p w14:paraId="3650CC5B" w14:textId="146C4E72" w:rsidR="0095101F" w:rsidRDefault="0095101F"/>
    <w:p w14:paraId="1A0A191F" w14:textId="36A603D4" w:rsidR="003E1034" w:rsidRDefault="003E1034">
      <w:r>
        <w:t>The next component is to create required grouping variables based on above:</w:t>
      </w:r>
    </w:p>
    <w:p w14:paraId="5D7ECD7B" w14:textId="77777777" w:rsidR="003E1034" w:rsidRPr="003E1034" w:rsidRDefault="003E1034" w:rsidP="003E1034">
      <w:r w:rsidRPr="003E1034">
        <w:t>Groupings of ROA are sometimes requested by clients.  Groupings are as follows:</w:t>
      </w:r>
    </w:p>
    <w:p w14:paraId="649DD467" w14:textId="77777777" w:rsidR="003E1034" w:rsidRPr="003E1034" w:rsidRDefault="003E1034" w:rsidP="003E1034">
      <w:pPr>
        <w:numPr>
          <w:ilvl w:val="1"/>
          <w:numId w:val="2"/>
        </w:numPr>
      </w:pPr>
      <w:r w:rsidRPr="003E1034">
        <w:t>Any oral: R1, R6, R8, R9, R11, R12, R13, R14 (name variabe:&lt;DRUGname&gt;_anyoral)</w:t>
      </w:r>
    </w:p>
    <w:p w14:paraId="15EA62C4" w14:textId="77777777" w:rsidR="003E1034" w:rsidRPr="003E1034" w:rsidRDefault="003E1034" w:rsidP="003E1034">
      <w:pPr>
        <w:numPr>
          <w:ilvl w:val="1"/>
          <w:numId w:val="2"/>
        </w:numPr>
      </w:pPr>
      <w:r w:rsidRPr="003E1034">
        <w:t>Any inject: R4, R5 (name variabe:&lt;DRUGname)_anyinject)</w:t>
      </w:r>
    </w:p>
    <w:p w14:paraId="17393BF5" w14:textId="77777777" w:rsidR="00867355" w:rsidRDefault="00867355"/>
    <w:p w14:paraId="19EDA36D" w14:textId="0CD30A27" w:rsidR="003E1034" w:rsidRDefault="003E1034">
      <w:r>
        <w:t>Logic for the “anyinject” grouping would be:</w:t>
      </w:r>
    </w:p>
    <w:p w14:paraId="5C24BFBC" w14:textId="08DC7A00" w:rsidR="003E1034" w:rsidRDefault="003E1034"/>
    <w:p w14:paraId="5BD0834B" w14:textId="43B29731" w:rsidR="003E1034" w:rsidRDefault="003E1034" w:rsidP="003E1034">
      <w:r>
        <w:t xml:space="preserve">If OP1FR4=1 or OP1MR4=1 or OP3IR4=1 or OP8HR4=1 or OP16GR4=1 or OP8IR4=1 or OP8JR4=1 </w:t>
      </w:r>
    </w:p>
    <w:p w14:paraId="4F319F6A" w14:textId="580BAB0B" w:rsidR="003E1034" w:rsidRDefault="003E1034" w:rsidP="003E1034">
      <w:r>
        <w:t xml:space="preserve">Or </w:t>
      </w:r>
    </w:p>
    <w:p w14:paraId="7DAB7529" w14:textId="41F5C6A9" w:rsidR="003E1034" w:rsidRDefault="00867355" w:rsidP="003E1034">
      <w:r>
        <w:t>OP1FR5=1 or OP1MR5=1 or OP3IR5=1 or OP8HR5=1 or OP16GR5=1 or OP8IR5=1 or OP8JR5=1</w:t>
      </w:r>
    </w:p>
    <w:p w14:paraId="108201C2" w14:textId="6D1B0E05" w:rsidR="003E1034" w:rsidRDefault="003E1034" w:rsidP="003E1034">
      <w:r>
        <w:rPr>
          <w:b/>
          <w:bCs/>
        </w:rPr>
        <w:t xml:space="preserve">THEN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>_</w:t>
      </w:r>
      <w:r w:rsidR="00867355">
        <w:rPr>
          <w:rFonts w:ascii="Calibri" w:eastAsia="Times New Roman" w:hAnsi="Calibri" w:cs="Calibri"/>
          <w:color w:val="000000"/>
        </w:rPr>
        <w:t>anyinject</w:t>
      </w:r>
      <w:r>
        <w:rPr>
          <w:rFonts w:ascii="Calibri" w:eastAsia="Times New Roman" w:hAnsi="Calibri" w:cs="Calibri"/>
          <w:color w:val="000000"/>
        </w:rPr>
        <w:t xml:space="preserve">=1; else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>_</w:t>
      </w:r>
      <w:r w:rsidR="00867355">
        <w:rPr>
          <w:rFonts w:ascii="Calibri" w:eastAsia="Times New Roman" w:hAnsi="Calibri" w:cs="Calibri"/>
          <w:color w:val="000000"/>
        </w:rPr>
        <w:t>anyinject</w:t>
      </w:r>
      <w:r>
        <w:rPr>
          <w:rFonts w:ascii="Calibri" w:eastAsia="Times New Roman" w:hAnsi="Calibri" w:cs="Calibri"/>
          <w:color w:val="000000"/>
        </w:rPr>
        <w:t>=0;</w:t>
      </w:r>
    </w:p>
    <w:p w14:paraId="271F809F" w14:textId="7E960F07" w:rsidR="003E1034" w:rsidRDefault="003E1034"/>
    <w:p w14:paraId="5DCB7361" w14:textId="77777777" w:rsidR="003E1034" w:rsidRDefault="003E1034"/>
    <w:p w14:paraId="442D4FF7" w14:textId="3C76829E" w:rsidR="003E1034" w:rsidRDefault="003E1034">
      <w:r>
        <w:rPr>
          <w:b/>
          <w:bCs/>
        </w:rPr>
        <w:t>Objective</w:t>
      </w:r>
      <w:r>
        <w:t>: The analytic file must create all</w:t>
      </w:r>
      <w:r w:rsidR="00867355">
        <w:t xml:space="preserve"> the “abuse” and ROA</w:t>
      </w:r>
      <w:r w:rsidR="00463461">
        <w:t xml:space="preserve"> (14 </w:t>
      </w:r>
      <w:r w:rsidR="006B7B06">
        <w:t>route of administration</w:t>
      </w:r>
      <w:r w:rsidR="00463461">
        <w:t xml:space="preserve"> types)</w:t>
      </w:r>
      <w:r w:rsidR="00867355">
        <w:t xml:space="preserve"> and ROA grouping variables for the comparator groups </w:t>
      </w:r>
      <w:r w:rsidR="00463461">
        <w:t xml:space="preserve">(in this case two) </w:t>
      </w:r>
      <w:r w:rsidR="00867355">
        <w:t xml:space="preserve">requested. Since this sample request has 53 comparators requested, </w:t>
      </w:r>
      <w:r w:rsidR="00463461">
        <w:t xml:space="preserve">we need to create </w:t>
      </w:r>
      <w:r w:rsidR="00463461">
        <w:rPr>
          <w:b/>
          <w:bCs/>
        </w:rPr>
        <w:t xml:space="preserve">901 </w:t>
      </w:r>
      <w:r w:rsidR="00463461">
        <w:t xml:space="preserve">variables. </w:t>
      </w:r>
      <w:r w:rsidR="00235229">
        <w:t>This is a major challenge in terms of the tediousness of the task. In fact, the prior solution</w:t>
      </w:r>
      <w:r w:rsidR="008B2BEA">
        <w:t xml:space="preserve"> used by other analysts</w:t>
      </w:r>
      <w:r w:rsidR="00235229">
        <w:t xml:space="preserve"> was to manually code these variables in their own separate programs (see attached _priormethod.sas codes with methadone example).</w:t>
      </w:r>
    </w:p>
    <w:p w14:paraId="104A695B" w14:textId="0EB8432F" w:rsidR="00235229" w:rsidRDefault="00235229">
      <w:r>
        <w:t>This is not only an extremely tedious task, but it is a headache to make changes to the code if the comparator composition changes (for example, OP8J is not considered part of opioids_adf_label anymore).</w:t>
      </w:r>
    </w:p>
    <w:p w14:paraId="1B8A6CB1" w14:textId="19D6441B" w:rsidR="00F87283" w:rsidRDefault="00F87283">
      <w:r>
        <w:rPr>
          <w:b/>
          <w:bCs/>
        </w:rPr>
        <w:t>Solution</w:t>
      </w:r>
      <w:r>
        <w:t>: Because the naming of the opioid abuse variables (e.ge. OP8J) followed a structured suffix pattern (i.e OP8J_abuse, OP8JR1, OP8JR2…., OP8JR14), I looked to exploit this structure to automate the creation of the variables. I implemented the idea of creating “code strings” using macrotization rather than individually coding each variable.</w:t>
      </w:r>
      <w:r w:rsidR="0010400E">
        <w:t xml:space="preserve"> The code would loop through the suffixes (abuse, R1,R2,…R</w:t>
      </w:r>
      <w:r w:rsidR="00FF3785">
        <w:t>1</w:t>
      </w:r>
      <w:r w:rsidR="0010400E">
        <w:t>4) to create all the needed variables.</w:t>
      </w:r>
    </w:p>
    <w:p w14:paraId="0ACEA50A" w14:textId="3354FDC3" w:rsidR="0010400E" w:rsidRDefault="00F87283">
      <w:r>
        <w:t xml:space="preserve"> Basically, I decided to take the inputs in from Exce</w:t>
      </w:r>
      <w:r w:rsidR="0010400E">
        <w:t>l of the comparators</w:t>
      </w:r>
      <w:r w:rsidR="00CC1FEF">
        <w:t xml:space="preserve"> (see comparator_input</w:t>
      </w:r>
      <w:r w:rsidR="006B7B06">
        <w:t>_sheet</w:t>
      </w:r>
      <w:r w:rsidR="00CC1FEF">
        <w:t>.xlsx</w:t>
      </w:r>
      <w:r w:rsidR="006B7B06">
        <w:t>)</w:t>
      </w:r>
      <w:r w:rsidR="0010400E">
        <w:t>, ROA, and requested groups to make the solution more “front end”.</w:t>
      </w:r>
    </w:p>
    <w:p w14:paraId="3043EA36" w14:textId="77777777" w:rsidR="0010400E" w:rsidRDefault="0010400E"/>
    <w:p w14:paraId="2BA432B4" w14:textId="4B01ED2B" w:rsidR="00F87283" w:rsidRDefault="00F87283">
      <w:r>
        <w:lastRenderedPageBreak/>
        <w:t xml:space="preserve">l essentially have the code “create code” in order to actually create the 901  “if/else” statements (in this project). </w:t>
      </w:r>
      <w:r w:rsidR="003C47D6">
        <w:t>See “comparator_logic.sas” and “group_logic.sas” to see the string code outputted by the engine that is later “run”</w:t>
      </w:r>
      <w:r w:rsidR="00201B80">
        <w:t xml:space="preserve"> via %include</w:t>
      </w:r>
      <w:r w:rsidR="003C47D6">
        <w:t xml:space="preserve"> to create the 901 variables.</w:t>
      </w:r>
      <w:r w:rsidR="00201B80">
        <w:t xml:space="preserve"> Below shows a snippet of the code involved looping of the variable creation using the codes created by the string engine:</w:t>
      </w:r>
    </w:p>
    <w:p w14:paraId="583CE851" w14:textId="33A958E6" w:rsidR="00201B80" w:rsidRDefault="00201B80"/>
    <w:p w14:paraId="02C4317F" w14:textId="1FC2003D" w:rsidR="00201B80" w:rsidRDefault="00201B80">
      <w:r>
        <w:rPr>
          <w:noProof/>
        </w:rPr>
        <w:drawing>
          <wp:inline distT="0" distB="0" distL="0" distR="0" wp14:anchorId="708FE93E" wp14:editId="5BF3DB7E">
            <wp:extent cx="4038600" cy="49530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4953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4E8C7AA" w14:textId="2140CCAE" w:rsidR="003C47D6" w:rsidRDefault="003C47D6"/>
    <w:p w14:paraId="4DF8F5DE" w14:textId="77777777" w:rsidR="003C47D6" w:rsidRPr="00F87283" w:rsidRDefault="003C47D6"/>
    <w:p w14:paraId="53A49640" w14:textId="1AFDDE22" w:rsidR="00C70F9A" w:rsidRDefault="00201B80">
      <w:r>
        <w:rPr>
          <w:b/>
          <w:bCs/>
        </w:rPr>
        <w:t>Validation:</w:t>
      </w:r>
    </w:p>
    <w:p w14:paraId="03EFE61A" w14:textId="77777777" w:rsidR="002A607B" w:rsidRDefault="00201B80">
      <w:r>
        <w:t xml:space="preserve">Even sometimes when code </w:t>
      </w:r>
      <w:r w:rsidR="002A607B">
        <w:t>does not</w:t>
      </w:r>
      <w:r>
        <w:t xml:space="preserve"> error, data can be generated with unintended errors. That is why it is important to implement a validation (preferably independently run by a peer). I created a validation engine that peers use which can check the analytic file without creating all the abuse variables (the 901 variables above). </w:t>
      </w:r>
      <w:r w:rsidR="002A607B">
        <w:t xml:space="preserve">Since the analytic file requires creating binary variable of the comparator variables, I can use PROC SQL “case then” statements to check the total of a variable without creating the variable. </w:t>
      </w:r>
    </w:p>
    <w:p w14:paraId="32D77597" w14:textId="77777777" w:rsidR="002A607B" w:rsidRDefault="002A607B"/>
    <w:p w14:paraId="0322C84C" w14:textId="77777777" w:rsidR="002A607B" w:rsidRDefault="002A607B"/>
    <w:p w14:paraId="61096DFC" w14:textId="18FED4DD" w:rsidR="002A607B" w:rsidRPr="002A607B" w:rsidRDefault="002A607B">
      <w:r>
        <w:t xml:space="preserve">For example, I can check the total of </w:t>
      </w:r>
      <w:r w:rsidRPr="00C72A7E">
        <w:rPr>
          <w:rFonts w:ascii="Calibri" w:eastAsia="Times New Roman" w:hAnsi="Calibri" w:cs="Calibri"/>
          <w:b/>
          <w:bCs/>
          <w:color w:val="000000"/>
        </w:rPr>
        <w:t>opioids_adf_label</w:t>
      </w:r>
      <w:r w:rsidRPr="002A607B">
        <w:rPr>
          <w:rFonts w:ascii="Calibri" w:eastAsia="Times New Roman" w:hAnsi="Calibri" w:cs="Calibri"/>
          <w:b/>
          <w:bCs/>
          <w:color w:val="000000"/>
        </w:rPr>
        <w:t>_abuse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>with the following SQL logic:</w:t>
      </w:r>
    </w:p>
    <w:p w14:paraId="7C6C5A70" w14:textId="77777777" w:rsidR="002A607B" w:rsidRDefault="002A607B"/>
    <w:p w14:paraId="183F78A6" w14:textId="423D9F4D" w:rsidR="00201B80" w:rsidRDefault="002A607B">
      <w:pPr>
        <w:rPr>
          <w:rFonts w:ascii="Calibri" w:eastAsia="Times New Roman" w:hAnsi="Calibri" w:cs="Calibri"/>
          <w:color w:val="000000"/>
        </w:rPr>
      </w:pPr>
      <w:r>
        <w:t xml:space="preserve">SELECT SUM(CASE WHEN OP1F_use=1 or OP1M_use=1 or OP3I_use=1 or OP8H_use=1 or OP16G_use=1 or OP8I_use=1 or OP8J_use=1 </w:t>
      </w:r>
      <w:r>
        <w:rPr>
          <w:b/>
          <w:bCs/>
        </w:rPr>
        <w:t>THEN 1 ELSE 0 END)</w:t>
      </w:r>
      <w:r>
        <w:t xml:space="preserve"> as  </w:t>
      </w:r>
      <w:r w:rsidRPr="00C72A7E">
        <w:rPr>
          <w:rFonts w:ascii="Calibri" w:eastAsia="Times New Roman" w:hAnsi="Calibri" w:cs="Calibri"/>
          <w:color w:val="000000"/>
        </w:rPr>
        <w:t>opioids_adf_label</w:t>
      </w:r>
      <w:r>
        <w:rPr>
          <w:rFonts w:ascii="Calibri" w:eastAsia="Times New Roman" w:hAnsi="Calibri" w:cs="Calibri"/>
          <w:color w:val="000000"/>
        </w:rPr>
        <w:t>_abuse_total.</w:t>
      </w:r>
    </w:p>
    <w:p w14:paraId="51151833" w14:textId="314E4474" w:rsidR="002A607B" w:rsidRDefault="002A607B">
      <w:pPr>
        <w:rPr>
          <w:rFonts w:ascii="Calibri" w:eastAsia="Times New Roman" w:hAnsi="Calibri" w:cs="Calibri"/>
          <w:color w:val="000000"/>
        </w:rPr>
      </w:pPr>
    </w:p>
    <w:p w14:paraId="22A4ED82" w14:textId="548D4330" w:rsidR="002A607B" w:rsidRPr="00936F55" w:rsidRDefault="002A607B">
      <w:r>
        <w:rPr>
          <w:rFonts w:ascii="Calibri" w:eastAsia="Times New Roman" w:hAnsi="Calibri" w:cs="Calibri"/>
          <w:color w:val="000000"/>
        </w:rPr>
        <w:t xml:space="preserve">Therefore, I wrote a validation engine that writes Case/when statement strings to check the variable totals and see if those totals equal that of the analytic file. The code </w:t>
      </w:r>
      <w:r w:rsidRPr="002A607B">
        <w:rPr>
          <w:rFonts w:ascii="Calibri" w:eastAsia="Times New Roman" w:hAnsi="Calibri" w:cs="Calibri"/>
          <w:b/>
          <w:bCs/>
          <w:color w:val="000000"/>
        </w:rPr>
        <w:t>sample_validation_check.sas</w:t>
      </w:r>
      <w:r>
        <w:rPr>
          <w:rFonts w:ascii="Calibri" w:eastAsia="Times New Roman" w:hAnsi="Calibri" w:cs="Calibri"/>
          <w:b/>
          <w:bCs/>
          <w:color w:val="000000"/>
        </w:rPr>
        <w:t xml:space="preserve"> </w:t>
      </w:r>
      <w:r>
        <w:rPr>
          <w:rFonts w:ascii="Calibri" w:eastAsia="Times New Roman" w:hAnsi="Calibri" w:cs="Calibri"/>
          <w:color w:val="000000"/>
        </w:rPr>
        <w:t xml:space="preserve">shows </w:t>
      </w:r>
      <w:r w:rsidR="00936F55">
        <w:rPr>
          <w:rFonts w:ascii="Calibri" w:eastAsia="Times New Roman" w:hAnsi="Calibri" w:cs="Calibri"/>
          <w:color w:val="000000"/>
        </w:rPr>
        <w:t xml:space="preserve">this engine and the output string files </w:t>
      </w:r>
      <w:r w:rsidR="00936F55">
        <w:rPr>
          <w:rFonts w:ascii="Calibri" w:eastAsia="Times New Roman" w:hAnsi="Calibri" w:cs="Calibri"/>
          <w:b/>
          <w:bCs/>
          <w:color w:val="000000"/>
        </w:rPr>
        <w:t>qc_queries.sas</w:t>
      </w:r>
      <w:r w:rsidR="00936F55">
        <w:rPr>
          <w:rFonts w:ascii="Calibri" w:eastAsia="Times New Roman" w:hAnsi="Calibri" w:cs="Calibri"/>
          <w:color w:val="000000"/>
        </w:rPr>
        <w:t xml:space="preserve"> and </w:t>
      </w:r>
      <w:r w:rsidR="00936F55">
        <w:rPr>
          <w:rFonts w:ascii="Calibri" w:eastAsia="Times New Roman" w:hAnsi="Calibri" w:cs="Calibri"/>
          <w:b/>
          <w:bCs/>
          <w:color w:val="000000"/>
        </w:rPr>
        <w:t>qc_queriesROA.sas</w:t>
      </w:r>
      <w:r w:rsidR="00936F55">
        <w:rPr>
          <w:rFonts w:ascii="Calibri" w:eastAsia="Times New Roman" w:hAnsi="Calibri" w:cs="Calibri"/>
          <w:color w:val="000000"/>
        </w:rPr>
        <w:t xml:space="preserve"> show the created strings that are later called via %Include.</w:t>
      </w:r>
    </w:p>
    <w:p w14:paraId="5E9BA741" w14:textId="77777777" w:rsidR="003E1034" w:rsidRPr="003E1034" w:rsidRDefault="003E1034"/>
    <w:sectPr w:rsidR="003E1034" w:rsidRPr="003E1034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38407E6"/>
    <w:multiLevelType w:val="hybridMultilevel"/>
    <w:tmpl w:val="550E89A4"/>
    <w:lvl w:ilvl="0" w:tplc="E5988F1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76A0836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A1EBB7C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2ACAE81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5D24C9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6A3AB376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49E09A06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5D4497D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95BE3CB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0A1041E1"/>
    <w:multiLevelType w:val="hybridMultilevel"/>
    <w:tmpl w:val="271E2142"/>
    <w:lvl w:ilvl="0" w:tplc="69FC45B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FB36FCE2"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FEA6ABD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7B78504C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E1E03E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1F809D2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0F08010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6469A0E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A4F00734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 w16cid:durableId="1381515621">
    <w:abstractNumId w:val="0"/>
  </w:num>
  <w:num w:numId="2" w16cid:durableId="57901944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C0D5D"/>
    <w:rsid w:val="0010400E"/>
    <w:rsid w:val="00156CFB"/>
    <w:rsid w:val="001B2126"/>
    <w:rsid w:val="00201B80"/>
    <w:rsid w:val="00235229"/>
    <w:rsid w:val="002A607B"/>
    <w:rsid w:val="003C47D6"/>
    <w:rsid w:val="003E1034"/>
    <w:rsid w:val="00463461"/>
    <w:rsid w:val="004915B0"/>
    <w:rsid w:val="004F54BB"/>
    <w:rsid w:val="006B7B06"/>
    <w:rsid w:val="00867355"/>
    <w:rsid w:val="008B2BEA"/>
    <w:rsid w:val="008C0D5D"/>
    <w:rsid w:val="00936F55"/>
    <w:rsid w:val="0095101F"/>
    <w:rsid w:val="00A21D58"/>
    <w:rsid w:val="00C1578E"/>
    <w:rsid w:val="00C70F9A"/>
    <w:rsid w:val="00C72A7E"/>
    <w:rsid w:val="00CC1FEF"/>
    <w:rsid w:val="00F87283"/>
    <w:rsid w:val="00FF378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FAC660"/>
  <w15:chartTrackingRefBased/>
  <w15:docId w15:val="{1FBEC423-DC64-4B58-8DFA-2A16C3F298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207766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33598293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584839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2572916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839144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6630579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1430252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48112002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4489718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50123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74442384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1854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131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996509">
          <w:marLeft w:val="27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5722785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4777277">
          <w:marLeft w:val="994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37806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4</Pages>
  <Words>762</Words>
  <Characters>4347</Characters>
  <Application>Microsoft Office Word</Application>
  <DocSecurity>0</DocSecurity>
  <Lines>36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5099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Kiran Pydisetty</dc:creator>
  <cp:keywords/>
  <dc:description/>
  <cp:lastModifiedBy>Kiran Pydisetty</cp:lastModifiedBy>
  <cp:revision>4</cp:revision>
  <dcterms:created xsi:type="dcterms:W3CDTF">2025-01-23T13:20:00Z</dcterms:created>
  <dcterms:modified xsi:type="dcterms:W3CDTF">2025-01-23T13:42:00Z</dcterms:modified>
</cp:coreProperties>
</file>