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FA41" w14:textId="5413D9B6" w:rsidR="009A06D4" w:rsidRDefault="00CE4C73" w:rsidP="00607229">
      <w:pPr>
        <w:pStyle w:val="paragraph"/>
        <w:spacing w:before="0" w:beforeAutospacing="0" w:after="160" w:afterAutospacing="0"/>
        <w:jc w:val="center"/>
        <w:textAlignment w:val="baseline"/>
        <w:rPr>
          <w:rStyle w:val="scxw209497390"/>
          <w:rFonts w:ascii="Aptos" w:eastAsiaTheme="majorEastAsia" w:hAnsi="Aptos"/>
          <w:b/>
          <w:bCs/>
          <w:color w:val="000000" w:themeColor="text1"/>
          <w:sz w:val="22"/>
          <w:szCs w:val="22"/>
          <w:u w:val="single"/>
        </w:rPr>
      </w:pPr>
      <w:r>
        <w:rPr>
          <w:rStyle w:val="scxw209497390"/>
          <w:rFonts w:ascii="Aptos" w:eastAsiaTheme="majorEastAsia" w:hAnsi="Aptos"/>
          <w:b/>
          <w:bCs/>
          <w:color w:val="000000" w:themeColor="text1"/>
          <w:sz w:val="22"/>
          <w:szCs w:val="22"/>
          <w:u w:val="single"/>
        </w:rPr>
        <w:t xml:space="preserve">Security </w:t>
      </w:r>
      <w:r w:rsidR="009A06D4" w:rsidRPr="009A06D4">
        <w:rPr>
          <w:rStyle w:val="scxw209497390"/>
          <w:rFonts w:ascii="Aptos" w:eastAsiaTheme="majorEastAsia" w:hAnsi="Aptos"/>
          <w:b/>
          <w:bCs/>
          <w:color w:val="000000" w:themeColor="text1"/>
          <w:sz w:val="22"/>
          <w:szCs w:val="22"/>
          <w:u w:val="single"/>
        </w:rPr>
        <w:t>Performance Plan</w:t>
      </w:r>
    </w:p>
    <w:p w14:paraId="772B8FBA" w14:textId="740CBAE3" w:rsidR="0046444C" w:rsidRPr="0046444C" w:rsidRDefault="0046444C" w:rsidP="0046444C">
      <w:pPr>
        <w:pStyle w:val="paragraph"/>
        <w:spacing w:before="0" w:beforeAutospacing="0" w:after="160" w:afterAutospacing="0"/>
        <w:textAlignment w:val="baseline"/>
        <w:rPr>
          <w:rFonts w:ascii="Aptos" w:hAnsi="Aptos"/>
          <w:color w:val="FF0000"/>
          <w:sz w:val="22"/>
          <w:szCs w:val="22"/>
        </w:rPr>
      </w:pPr>
      <w:r>
        <w:rPr>
          <w:rStyle w:val="scxw209497390"/>
          <w:rFonts w:ascii="Aptos" w:eastAsiaTheme="majorEastAsia" w:hAnsi="Aptos"/>
          <w:color w:val="000000" w:themeColor="text1"/>
          <w:sz w:val="22"/>
          <w:szCs w:val="22"/>
        </w:rPr>
        <w:t>Though the database has gone missing or has been inaccessible in the NetLab environment for currently unknown reasons, we were able to implement</w:t>
      </w:r>
      <w:r w:rsidR="00A42E59">
        <w:rPr>
          <w:rStyle w:val="scxw209497390"/>
          <w:rFonts w:ascii="Aptos" w:eastAsiaTheme="majorEastAsia" w:hAnsi="Aptos"/>
          <w:color w:val="000000" w:themeColor="text1"/>
          <w:sz w:val="22"/>
          <w:szCs w:val="22"/>
        </w:rPr>
        <w:t xml:space="preserve"> some of this locally</w:t>
      </w:r>
      <w:r>
        <w:rPr>
          <w:rStyle w:val="scxw209497390"/>
          <w:rFonts w:ascii="Aptos" w:eastAsiaTheme="majorEastAsia" w:hAnsi="Aptos"/>
          <w:color w:val="000000" w:themeColor="text1"/>
          <w:sz w:val="22"/>
          <w:szCs w:val="22"/>
        </w:rPr>
        <w:t>. We tested locally before implementing in the database in NetLab.</w:t>
      </w:r>
    </w:p>
    <w:p w14:paraId="551E315D" w14:textId="77777777" w:rsidR="009A06D4" w:rsidRPr="00607229" w:rsidRDefault="009A06D4" w:rsidP="00607229">
      <w:pPr>
        <w:pStyle w:val="paragraph"/>
        <w:spacing w:before="120" w:beforeAutospacing="0" w:after="120" w:afterAutospacing="0"/>
        <w:textAlignment w:val="baseline"/>
        <w:rPr>
          <w:rFonts w:ascii="Calibri" w:hAnsi="Calibri" w:cs="Calibri"/>
          <w:color w:val="000000" w:themeColor="text1"/>
        </w:rPr>
      </w:pPr>
      <w:r w:rsidRPr="00607229">
        <w:rPr>
          <w:rStyle w:val="normaltextrun"/>
          <w:rFonts w:ascii="Calibri" w:eastAsiaTheme="majorEastAsia" w:hAnsi="Calibri" w:cs="Calibri"/>
          <w:b/>
          <w:bCs/>
          <w:color w:val="000000" w:themeColor="text1"/>
          <w:sz w:val="20"/>
          <w:szCs w:val="20"/>
        </w:rPr>
        <w:t>R</w:t>
      </w:r>
      <w:r w:rsidRPr="00607229">
        <w:rPr>
          <w:rStyle w:val="normaltextrun"/>
          <w:rFonts w:ascii="Calibri" w:eastAsiaTheme="majorEastAsia" w:hAnsi="Calibri" w:cs="Calibri"/>
          <w:b/>
          <w:bCs/>
          <w:color w:val="000000" w:themeColor="text1"/>
          <w:sz w:val="22"/>
          <w:szCs w:val="22"/>
        </w:rPr>
        <w:t>ole-Based Access Control</w:t>
      </w:r>
      <w:r w:rsidRPr="00607229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3F7A7F41" w14:textId="2A8E810C" w:rsidR="001C1ABE" w:rsidRPr="00607229" w:rsidRDefault="0046444C" w:rsidP="00607229">
      <w:pPr>
        <w:pStyle w:val="paragraph"/>
        <w:numPr>
          <w:ilvl w:val="0"/>
          <w:numId w:val="22"/>
        </w:numPr>
        <w:spacing w:before="120" w:beforeAutospacing="0" w:after="12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We s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>et up roles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and planned to i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>ntegrate with Active Directory to grant only the necessary permissions.</w:t>
      </w:r>
      <w:r w:rsidR="009A06D4" w:rsidRPr="00607229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4A6C8C" w14:textId="6525C913" w:rsidR="00607229" w:rsidRDefault="009A06D4" w:rsidP="00607229">
      <w:pPr>
        <w:pStyle w:val="paragraph"/>
        <w:numPr>
          <w:ilvl w:val="0"/>
          <w:numId w:val="22"/>
        </w:numPr>
        <w:spacing w:before="120" w:beforeAutospacing="0" w:after="120" w:afterAutospacing="0"/>
        <w:textAlignment w:val="baseline"/>
        <w:rPr>
          <w:rFonts w:ascii="Calibri" w:hAnsi="Calibri" w:cs="Calibri"/>
        </w:rPr>
      </w:pPr>
      <w:r w:rsidRPr="00607229">
        <w:rPr>
          <w:rStyle w:val="normaltextrun"/>
          <w:rFonts w:ascii="Calibri" w:eastAsiaTheme="majorEastAsia" w:hAnsi="Calibri" w:cs="Calibri"/>
          <w:sz w:val="22"/>
          <w:szCs w:val="22"/>
        </w:rPr>
        <w:t>We grant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ed </w:t>
      </w:r>
      <w:r w:rsidRPr="00607229">
        <w:rPr>
          <w:rStyle w:val="normaltextrun"/>
          <w:rFonts w:ascii="Calibri" w:eastAsiaTheme="majorEastAsia" w:hAnsi="Calibri" w:cs="Calibri"/>
          <w:sz w:val="22"/>
          <w:szCs w:val="22"/>
        </w:rPr>
        <w:t>full rights only to DBAs, read-only rights to Data Analysts, and restricted rights to application users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3F96941C" w14:textId="1AF0506F" w:rsidR="009A06D4" w:rsidRPr="00607229" w:rsidRDefault="009A06D4" w:rsidP="00607229">
      <w:pPr>
        <w:pStyle w:val="paragraph"/>
        <w:spacing w:before="120" w:beforeAutospacing="0" w:after="120" w:afterAutospacing="0"/>
        <w:textAlignment w:val="baseline"/>
        <w:rPr>
          <w:rFonts w:ascii="Calibri" w:hAnsi="Calibri" w:cs="Calibri"/>
        </w:rPr>
      </w:pPr>
      <w:r w:rsidRPr="00607229">
        <w:rPr>
          <w:rStyle w:val="normaltextrun"/>
          <w:rFonts w:ascii="Calibri" w:eastAsiaTheme="majorEastAsia" w:hAnsi="Calibri" w:cs="Calibri"/>
          <w:b/>
          <w:bCs/>
          <w:color w:val="000000" w:themeColor="text1"/>
          <w:sz w:val="22"/>
          <w:szCs w:val="22"/>
        </w:rPr>
        <w:t>User Accounts</w:t>
      </w:r>
      <w:r w:rsidRPr="00607229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02E145C6" w14:textId="4B53426C" w:rsidR="001C1ABE" w:rsidRPr="00607229" w:rsidRDefault="0046444C" w:rsidP="00607229">
      <w:pPr>
        <w:pStyle w:val="paragraph"/>
        <w:numPr>
          <w:ilvl w:val="0"/>
          <w:numId w:val="23"/>
        </w:numPr>
        <w:spacing w:before="12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We made sure to ensure strong, secure 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>password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s.</w:t>
      </w:r>
    </w:p>
    <w:p w14:paraId="7B87E024" w14:textId="3460CBBD" w:rsidR="009A06D4" w:rsidRPr="00607229" w:rsidRDefault="0046444C" w:rsidP="00607229">
      <w:pPr>
        <w:pStyle w:val="paragraph"/>
        <w:numPr>
          <w:ilvl w:val="0"/>
          <w:numId w:val="23"/>
        </w:numPr>
        <w:spacing w:before="12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We explicitly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define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 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which accounts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could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log into the SQL Server instance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(though we never got that far as the NetLab environment held us back)</w:t>
      </w:r>
    </w:p>
    <w:p w14:paraId="26AEAFDA" w14:textId="77777777" w:rsidR="009A06D4" w:rsidRPr="00607229" w:rsidRDefault="009A06D4" w:rsidP="00607229">
      <w:pPr>
        <w:pStyle w:val="paragraph"/>
        <w:spacing w:before="120" w:beforeAutospacing="0" w:after="12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607229">
        <w:rPr>
          <w:rStyle w:val="normaltextrun"/>
          <w:rFonts w:ascii="Calibri" w:eastAsiaTheme="majorEastAsia" w:hAnsi="Calibri" w:cs="Calibri"/>
          <w:b/>
          <w:bCs/>
          <w:color w:val="000000" w:themeColor="text1"/>
          <w:sz w:val="22"/>
          <w:szCs w:val="22"/>
        </w:rPr>
        <w:t>Data Encryption</w:t>
      </w:r>
      <w:r w:rsidRPr="00607229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5B1425E8" w14:textId="6A9F75FF" w:rsidR="009A06D4" w:rsidRPr="00860ECF" w:rsidRDefault="009A06D4" w:rsidP="00860ECF">
      <w:pPr>
        <w:pStyle w:val="paragraph"/>
        <w:numPr>
          <w:ilvl w:val="0"/>
          <w:numId w:val="24"/>
        </w:numPr>
        <w:spacing w:before="12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00607229">
        <w:rPr>
          <w:rStyle w:val="normaltextrun"/>
          <w:rFonts w:ascii="Calibri" w:eastAsiaTheme="majorEastAsia" w:hAnsi="Calibri" w:cs="Calibri"/>
          <w:sz w:val="22"/>
          <w:szCs w:val="22"/>
        </w:rPr>
        <w:t>Given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this is a class project</w:t>
      </w:r>
      <w:r w:rsidR="00860EC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and the delays in continued access to the database in the virtual environment, 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we </w:t>
      </w:r>
      <w:r w:rsidR="00860ECF">
        <w:rPr>
          <w:rStyle w:val="normaltextrun"/>
          <w:rFonts w:ascii="Calibri" w:eastAsiaTheme="majorEastAsia" w:hAnsi="Calibri" w:cs="Calibri"/>
          <w:sz w:val="22"/>
          <w:szCs w:val="22"/>
        </w:rPr>
        <w:t>haven’t yet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implement</w:t>
      </w:r>
      <w:r w:rsidR="00860EC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ed </w:t>
      </w:r>
      <w:r w:rsidRPr="00860ECF">
        <w:rPr>
          <w:rStyle w:val="normaltextrun"/>
          <w:rFonts w:ascii="Calibri" w:eastAsiaTheme="majorEastAsia" w:hAnsi="Calibri" w:cs="Calibri"/>
          <w:sz w:val="22"/>
          <w:szCs w:val="22"/>
        </w:rPr>
        <w:t>Transparent Data Encryption (TDE) when handling sensitive customer information</w:t>
      </w:r>
      <w:r w:rsidR="0046444C" w:rsidRPr="00860EC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and </w:t>
      </w:r>
      <w:r w:rsidR="001C1ABE" w:rsidRPr="00860ECF">
        <w:rPr>
          <w:rStyle w:val="normaltextrun"/>
          <w:rFonts w:ascii="Calibri" w:eastAsiaTheme="majorEastAsia" w:hAnsi="Calibri" w:cs="Calibri"/>
          <w:sz w:val="22"/>
          <w:szCs w:val="22"/>
        </w:rPr>
        <w:t>ensure</w:t>
      </w:r>
      <w:r w:rsidRPr="00860EC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that data in transit is protected (via SSL/TLS) between clients and the server.</w:t>
      </w:r>
      <w:r w:rsidRPr="00860ECF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FF0B27" w14:textId="77777777" w:rsidR="009A06D4" w:rsidRPr="00607229" w:rsidRDefault="009A06D4" w:rsidP="00607229">
      <w:pPr>
        <w:pStyle w:val="paragraph"/>
        <w:spacing w:before="120" w:beforeAutospacing="0" w:after="12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607229">
        <w:rPr>
          <w:rStyle w:val="normaltextrun"/>
          <w:rFonts w:ascii="Calibri" w:eastAsiaTheme="majorEastAsia" w:hAnsi="Calibri" w:cs="Calibri"/>
          <w:b/>
          <w:bCs/>
          <w:color w:val="000000" w:themeColor="text1"/>
          <w:sz w:val="22"/>
          <w:szCs w:val="22"/>
        </w:rPr>
        <w:t>Auditing &amp; Monitoring</w:t>
      </w:r>
      <w:r w:rsidRPr="00607229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8CE6303" w14:textId="3CD5C522" w:rsidR="009A06D4" w:rsidRPr="0046444C" w:rsidRDefault="0046444C" w:rsidP="0046444C">
      <w:pPr>
        <w:pStyle w:val="paragraph"/>
        <w:numPr>
          <w:ilvl w:val="0"/>
          <w:numId w:val="24"/>
        </w:numPr>
        <w:spacing w:before="12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If we gain access and can get everyone else access to the database in the NetLab environment, we want to use </w:t>
      </w:r>
      <w:r w:rsidR="009A06D4" w:rsidRPr="00607229">
        <w:rPr>
          <w:rStyle w:val="normaltextrun"/>
          <w:rFonts w:ascii="Calibri" w:eastAsiaTheme="majorEastAsia" w:hAnsi="Calibri" w:cs="Calibri"/>
          <w:sz w:val="22"/>
          <w:szCs w:val="22"/>
        </w:rPr>
        <w:t>SQL Server’s auditing or logging features to monitor changes, access, and potential security breaches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, as well as t</w:t>
      </w:r>
      <w:r w:rsidR="009A06D4" w:rsidRPr="0046444C">
        <w:rPr>
          <w:rStyle w:val="normaltextrun"/>
          <w:rFonts w:ascii="Calibri" w:eastAsiaTheme="majorEastAsia" w:hAnsi="Calibri" w:cs="Calibri"/>
          <w:sz w:val="22"/>
          <w:szCs w:val="22"/>
        </w:rPr>
        <w:t>rack failed login attempts and regularly review security logs.</w:t>
      </w:r>
      <w:r w:rsidR="009A06D4" w:rsidRPr="0046444C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B92476" w14:textId="77777777" w:rsidR="009A06D4" w:rsidRPr="00607229" w:rsidRDefault="009A06D4" w:rsidP="00607229">
      <w:pPr>
        <w:pStyle w:val="paragraph"/>
        <w:spacing w:before="120" w:beforeAutospacing="0" w:after="12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607229">
        <w:rPr>
          <w:rStyle w:val="normaltextrun"/>
          <w:rFonts w:ascii="Calibri" w:eastAsiaTheme="majorEastAsia" w:hAnsi="Calibri" w:cs="Calibri"/>
          <w:b/>
          <w:bCs/>
          <w:color w:val="000000" w:themeColor="text1"/>
          <w:sz w:val="22"/>
          <w:szCs w:val="22"/>
        </w:rPr>
        <w:t>Constraint Enforcement</w:t>
      </w:r>
      <w:r w:rsidRPr="00607229">
        <w:rPr>
          <w:rStyle w:val="eop"/>
          <w:rFonts w:ascii="Calibri" w:eastAsiaTheme="majorEastAsia" w:hAnsi="Calibri" w:cs="Calibri"/>
          <w:color w:val="000000" w:themeColor="text1"/>
          <w:sz w:val="22"/>
          <w:szCs w:val="22"/>
        </w:rPr>
        <w:t> </w:t>
      </w:r>
    </w:p>
    <w:p w14:paraId="19B88974" w14:textId="74F91AD5" w:rsidR="009A06D4" w:rsidRPr="00607229" w:rsidRDefault="009A06D4" w:rsidP="00607229">
      <w:pPr>
        <w:pStyle w:val="paragraph"/>
        <w:numPr>
          <w:ilvl w:val="0"/>
          <w:numId w:val="25"/>
        </w:numPr>
        <w:spacing w:before="12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0722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The constraints defined in the scripts (e.g., NOT NULL, CHECK constraints) 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are there </w:t>
      </w:r>
      <w:r w:rsidRPr="0060722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help prevent bad data entry, </w:t>
      </w:r>
      <w:r w:rsidR="0046444C">
        <w:rPr>
          <w:rStyle w:val="normaltextrun"/>
          <w:rFonts w:ascii="Calibri" w:eastAsiaTheme="majorEastAsia" w:hAnsi="Calibri" w:cs="Calibri"/>
          <w:sz w:val="22"/>
          <w:szCs w:val="22"/>
        </w:rPr>
        <w:t>which supports</w:t>
      </w:r>
      <w:r w:rsidRPr="0060722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overall data integrity.</w:t>
      </w:r>
      <w:r w:rsidR="00860EC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As you can see by our create table script, we made sure to ensure proper constraints on each table.</w:t>
      </w:r>
    </w:p>
    <w:p w14:paraId="020A2142" w14:textId="77777777" w:rsidR="00607229" w:rsidRDefault="00607229" w:rsidP="00607229">
      <w:pPr>
        <w:pStyle w:val="paragraph"/>
        <w:spacing w:before="120" w:beforeAutospacing="0" w:after="120" w:afterAutospacing="0"/>
        <w:textAlignment w:val="baseline"/>
        <w:rPr>
          <w:rStyle w:val="Strong"/>
          <w:rFonts w:ascii="Calibri" w:eastAsiaTheme="majorEastAsia" w:hAnsi="Calibri" w:cs="Calibri"/>
          <w:sz w:val="22"/>
          <w:szCs w:val="22"/>
        </w:rPr>
      </w:pPr>
      <w:r w:rsidRPr="00607229">
        <w:rPr>
          <w:rStyle w:val="Strong"/>
          <w:rFonts w:ascii="Calibri" w:eastAsiaTheme="majorEastAsia" w:hAnsi="Calibri" w:cs="Calibri"/>
          <w:sz w:val="22"/>
          <w:szCs w:val="22"/>
        </w:rPr>
        <w:t>Indexing &amp; Query Optimization</w:t>
      </w:r>
    </w:p>
    <w:p w14:paraId="390B3F00" w14:textId="5B53C52D" w:rsidR="00607229" w:rsidRPr="00F76DAC" w:rsidRDefault="00860ECF" w:rsidP="00607229">
      <w:pPr>
        <w:pStyle w:val="paragraph"/>
        <w:numPr>
          <w:ilvl w:val="0"/>
          <w:numId w:val="25"/>
        </w:numPr>
        <w:spacing w:before="120" w:beforeAutospacing="0" w:after="120" w:afterAutospacing="0"/>
        <w:textAlignment w:val="baseline"/>
        <w:rPr>
          <w:rFonts w:ascii="Calibri" w:eastAsiaTheme="majorEastAsia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identified</w:t>
      </w:r>
      <w:r w:rsidR="00607229" w:rsidRPr="00607229">
        <w:rPr>
          <w:rFonts w:ascii="Calibri" w:hAnsi="Calibri" w:cs="Calibri"/>
          <w:sz w:val="22"/>
          <w:szCs w:val="22"/>
        </w:rPr>
        <w:t xml:space="preserve"> key columns (like Email in the Customer table, </w:t>
      </w:r>
      <w:proofErr w:type="spellStart"/>
      <w:r w:rsidR="00607229" w:rsidRPr="00607229">
        <w:rPr>
          <w:rFonts w:ascii="Calibri" w:hAnsi="Calibri" w:cs="Calibri"/>
          <w:sz w:val="22"/>
          <w:szCs w:val="22"/>
        </w:rPr>
        <w:t>Order_Date</w:t>
      </w:r>
      <w:proofErr w:type="spellEnd"/>
      <w:r w:rsidR="00607229" w:rsidRPr="00607229">
        <w:rPr>
          <w:rFonts w:ascii="Calibri" w:hAnsi="Calibri" w:cs="Calibri"/>
          <w:sz w:val="22"/>
          <w:szCs w:val="22"/>
        </w:rPr>
        <w:t xml:space="preserve"> in the Order table, and frequently joined foreign keys) and create appropriate indexes.</w:t>
      </w:r>
    </w:p>
    <w:p w14:paraId="66263800" w14:textId="66540DDD" w:rsidR="00F76DAC" w:rsidRPr="00607229" w:rsidRDefault="00F76DAC" w:rsidP="00607229">
      <w:pPr>
        <w:pStyle w:val="paragraph"/>
        <w:numPr>
          <w:ilvl w:val="0"/>
          <w:numId w:val="25"/>
        </w:numPr>
        <w:spacing w:before="120" w:beforeAutospacing="0" w:after="120" w:afterAutospacing="0"/>
        <w:textAlignment w:val="baseline"/>
        <w:rPr>
          <w:rFonts w:ascii="Calibri" w:eastAsiaTheme="majorEastAsia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also created views on a few tables </w:t>
      </w:r>
      <w:r w:rsidRPr="00F76DAC">
        <w:rPr>
          <w:rFonts w:ascii="Calibri" w:hAnsi="Calibri" w:cs="Calibri"/>
          <w:sz w:val="22"/>
          <w:szCs w:val="22"/>
        </w:rPr>
        <w:t>to simplify and accelerate queries</w:t>
      </w:r>
      <w:r>
        <w:rPr>
          <w:rFonts w:ascii="Calibri" w:hAnsi="Calibri" w:cs="Calibri"/>
          <w:sz w:val="22"/>
          <w:szCs w:val="22"/>
        </w:rPr>
        <w:t>.</w:t>
      </w:r>
    </w:p>
    <w:p w14:paraId="6D7AEFA0" w14:textId="15BFE554" w:rsidR="00F76DAC" w:rsidRPr="00F76DAC" w:rsidRDefault="00860ECF" w:rsidP="00F76DAC">
      <w:pPr>
        <w:pStyle w:val="paragraph"/>
        <w:numPr>
          <w:ilvl w:val="0"/>
          <w:numId w:val="25"/>
        </w:numPr>
        <w:spacing w:before="120" w:beforeAutospacing="0" w:after="120" w:afterAutospacing="0"/>
        <w:textAlignment w:val="baseline"/>
        <w:rPr>
          <w:rFonts w:ascii="Calibri" w:eastAsiaTheme="majorEastAsia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only have a week or so left in this class</w:t>
      </w:r>
      <w:r w:rsidR="00F76DAC">
        <w:rPr>
          <w:rFonts w:ascii="Calibri" w:hAnsi="Calibri" w:cs="Calibri"/>
          <w:sz w:val="22"/>
          <w:szCs w:val="22"/>
        </w:rPr>
        <w:t xml:space="preserve"> and I’m not sure if we’ll be able to do this</w:t>
      </w:r>
      <w:r>
        <w:rPr>
          <w:rFonts w:ascii="Calibri" w:hAnsi="Calibri" w:cs="Calibri"/>
          <w:sz w:val="22"/>
          <w:szCs w:val="22"/>
        </w:rPr>
        <w:t xml:space="preserve">, but </w:t>
      </w:r>
      <w:r w:rsidR="00F76DAC">
        <w:rPr>
          <w:rFonts w:ascii="Calibri" w:hAnsi="Calibri" w:cs="Calibri"/>
          <w:sz w:val="22"/>
          <w:szCs w:val="22"/>
        </w:rPr>
        <w:t>if we’re able to we will</w:t>
      </w:r>
      <w:r>
        <w:rPr>
          <w:rFonts w:ascii="Calibri" w:hAnsi="Calibri" w:cs="Calibri"/>
          <w:sz w:val="22"/>
          <w:szCs w:val="22"/>
        </w:rPr>
        <w:t xml:space="preserve"> regularly </w:t>
      </w:r>
      <w:r w:rsidR="00607229" w:rsidRPr="00607229">
        <w:rPr>
          <w:rFonts w:ascii="Calibri" w:hAnsi="Calibri" w:cs="Calibri"/>
          <w:sz w:val="22"/>
          <w:szCs w:val="22"/>
        </w:rPr>
        <w:t xml:space="preserve">monitor query execution plans and adjust indexes </w:t>
      </w:r>
      <w:r>
        <w:rPr>
          <w:rFonts w:ascii="Calibri" w:hAnsi="Calibri" w:cs="Calibri"/>
          <w:sz w:val="22"/>
          <w:szCs w:val="22"/>
        </w:rPr>
        <w:t>and/</w:t>
      </w:r>
      <w:r w:rsidR="00607229" w:rsidRPr="00607229">
        <w:rPr>
          <w:rFonts w:ascii="Calibri" w:hAnsi="Calibri" w:cs="Calibri"/>
          <w:sz w:val="22"/>
          <w:szCs w:val="22"/>
        </w:rPr>
        <w:t xml:space="preserve">or queries to resolve </w:t>
      </w:r>
      <w:r>
        <w:rPr>
          <w:rFonts w:ascii="Calibri" w:hAnsi="Calibri" w:cs="Calibri"/>
          <w:sz w:val="22"/>
          <w:szCs w:val="22"/>
        </w:rPr>
        <w:t xml:space="preserve">any </w:t>
      </w:r>
      <w:r w:rsidR="00607229" w:rsidRPr="00607229">
        <w:rPr>
          <w:rFonts w:ascii="Calibri" w:hAnsi="Calibri" w:cs="Calibri"/>
          <w:sz w:val="22"/>
          <w:szCs w:val="22"/>
        </w:rPr>
        <w:t>performance bottleneck</w:t>
      </w:r>
      <w:r w:rsidR="00607229">
        <w:rPr>
          <w:rFonts w:ascii="Calibri" w:hAnsi="Calibri" w:cs="Calibri"/>
          <w:sz w:val="22"/>
          <w:szCs w:val="22"/>
        </w:rPr>
        <w:t>s.</w:t>
      </w:r>
    </w:p>
    <w:p w14:paraId="58A314D1" w14:textId="77777777" w:rsidR="0037118B" w:rsidRDefault="0037118B" w:rsidP="0037118B">
      <w:pPr>
        <w:pStyle w:val="paragraph"/>
        <w:spacing w:before="120" w:beforeAutospacing="0" w:after="120" w:afterAutospacing="0"/>
        <w:textAlignment w:val="baseline"/>
        <w:rPr>
          <w:rFonts w:ascii="Calibri" w:eastAsiaTheme="majorEastAsia" w:hAnsi="Calibri" w:cs="Calibri"/>
          <w:b/>
          <w:bCs/>
          <w:sz w:val="22"/>
          <w:szCs w:val="22"/>
        </w:rPr>
      </w:pPr>
      <w:r w:rsidRPr="0037118B">
        <w:rPr>
          <w:rFonts w:ascii="Calibri" w:eastAsiaTheme="majorEastAsia" w:hAnsi="Calibri" w:cs="Calibri"/>
          <w:b/>
          <w:bCs/>
          <w:sz w:val="22"/>
          <w:szCs w:val="22"/>
        </w:rPr>
        <w:t>Scalability Planning</w:t>
      </w:r>
    </w:p>
    <w:p w14:paraId="5B5F277D" w14:textId="1589D9B0" w:rsidR="004E21C4" w:rsidRPr="00F76DAC" w:rsidRDefault="00860ECF" w:rsidP="00F76DAC">
      <w:pPr>
        <w:pStyle w:val="paragraph"/>
        <w:numPr>
          <w:ilvl w:val="0"/>
          <w:numId w:val="26"/>
        </w:numPr>
        <w:spacing w:before="120" w:beforeAutospacing="0" w:after="120" w:afterAutospacing="0"/>
        <w:textAlignment w:val="baseline"/>
        <w:rPr>
          <w:rFonts w:ascii="Calibri" w:eastAsiaTheme="majorEastAsia" w:hAnsi="Calibri" w:cs="Calibri"/>
          <w:b/>
          <w:bCs/>
          <w:sz w:val="22"/>
          <w:szCs w:val="22"/>
        </w:rPr>
      </w:pPr>
      <w:r>
        <w:rPr>
          <w:rFonts w:ascii="Calibri" w:eastAsiaTheme="majorEastAsia" w:hAnsi="Calibri" w:cs="Calibri"/>
          <w:sz w:val="22"/>
          <w:szCs w:val="22"/>
        </w:rPr>
        <w:t>Though not implemented, we discussed potential</w:t>
      </w:r>
      <w:r w:rsidR="0037118B" w:rsidRPr="0037118B">
        <w:rPr>
          <w:rFonts w:ascii="Calibri" w:eastAsiaTheme="majorEastAsia" w:hAnsi="Calibri" w:cs="Calibri"/>
          <w:sz w:val="22"/>
          <w:szCs w:val="22"/>
        </w:rPr>
        <w:t xml:space="preserve"> future growth by outlining procedures for scaling the database</w:t>
      </w:r>
      <w:r>
        <w:rPr>
          <w:rFonts w:ascii="Calibri" w:eastAsiaTheme="majorEastAsia" w:hAnsi="Calibri" w:cs="Calibri"/>
          <w:sz w:val="22"/>
          <w:szCs w:val="22"/>
        </w:rPr>
        <w:t xml:space="preserve"> </w:t>
      </w:r>
      <w:r w:rsidR="0037118B" w:rsidRPr="0037118B">
        <w:rPr>
          <w:rFonts w:ascii="Calibri" w:eastAsiaTheme="majorEastAsia" w:hAnsi="Calibri" w:cs="Calibri"/>
          <w:sz w:val="22"/>
          <w:szCs w:val="22"/>
        </w:rPr>
        <w:t>through methods like partitioning or read replicas</w:t>
      </w:r>
      <w:r>
        <w:rPr>
          <w:rFonts w:ascii="Calibri" w:eastAsiaTheme="majorEastAsia" w:hAnsi="Calibri" w:cs="Calibri"/>
          <w:sz w:val="22"/>
          <w:szCs w:val="22"/>
        </w:rPr>
        <w:t xml:space="preserve"> </w:t>
      </w:r>
      <w:r w:rsidR="0037118B" w:rsidRPr="0037118B">
        <w:rPr>
          <w:rFonts w:ascii="Calibri" w:eastAsiaTheme="majorEastAsia" w:hAnsi="Calibri" w:cs="Calibri"/>
          <w:sz w:val="22"/>
          <w:szCs w:val="22"/>
        </w:rPr>
        <w:t xml:space="preserve">if transaction volume </w:t>
      </w:r>
      <w:r>
        <w:rPr>
          <w:rFonts w:ascii="Calibri" w:eastAsiaTheme="majorEastAsia" w:hAnsi="Calibri" w:cs="Calibri"/>
          <w:sz w:val="22"/>
          <w:szCs w:val="22"/>
        </w:rPr>
        <w:t>were to increase</w:t>
      </w:r>
      <w:r w:rsidR="0037118B" w:rsidRPr="0037118B">
        <w:rPr>
          <w:rFonts w:ascii="Calibri" w:eastAsiaTheme="majorEastAsia" w:hAnsi="Calibri" w:cs="Calibri"/>
          <w:sz w:val="22"/>
          <w:szCs w:val="22"/>
        </w:rPr>
        <w:t xml:space="preserve"> significantly.</w:t>
      </w:r>
    </w:p>
    <w:sectPr w:rsidR="004E21C4" w:rsidRPr="00F7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62F"/>
    <w:multiLevelType w:val="multilevel"/>
    <w:tmpl w:val="7C3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8F9"/>
    <w:multiLevelType w:val="multilevel"/>
    <w:tmpl w:val="D6C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57702"/>
    <w:multiLevelType w:val="hybridMultilevel"/>
    <w:tmpl w:val="BB24D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3B351E"/>
    <w:multiLevelType w:val="hybridMultilevel"/>
    <w:tmpl w:val="F300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A6357"/>
    <w:multiLevelType w:val="multilevel"/>
    <w:tmpl w:val="829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3682F"/>
    <w:multiLevelType w:val="hybridMultilevel"/>
    <w:tmpl w:val="4978D3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22D8B"/>
    <w:multiLevelType w:val="hybridMultilevel"/>
    <w:tmpl w:val="8834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51E4"/>
    <w:multiLevelType w:val="hybridMultilevel"/>
    <w:tmpl w:val="3006C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F778B0"/>
    <w:multiLevelType w:val="multilevel"/>
    <w:tmpl w:val="A6C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559B4"/>
    <w:multiLevelType w:val="multilevel"/>
    <w:tmpl w:val="13B6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B017C"/>
    <w:multiLevelType w:val="hybridMultilevel"/>
    <w:tmpl w:val="1C541F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045B78"/>
    <w:multiLevelType w:val="hybridMultilevel"/>
    <w:tmpl w:val="33C67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765AA1"/>
    <w:multiLevelType w:val="multilevel"/>
    <w:tmpl w:val="532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3036A"/>
    <w:multiLevelType w:val="hybridMultilevel"/>
    <w:tmpl w:val="1B6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41F21"/>
    <w:multiLevelType w:val="multilevel"/>
    <w:tmpl w:val="CB9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E2AC2"/>
    <w:multiLevelType w:val="multilevel"/>
    <w:tmpl w:val="1C0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748AD"/>
    <w:multiLevelType w:val="hybridMultilevel"/>
    <w:tmpl w:val="3322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B45D6"/>
    <w:multiLevelType w:val="multilevel"/>
    <w:tmpl w:val="C92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D6231"/>
    <w:multiLevelType w:val="hybridMultilevel"/>
    <w:tmpl w:val="7402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48B2"/>
    <w:multiLevelType w:val="hybridMultilevel"/>
    <w:tmpl w:val="4BE64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18B5318"/>
    <w:multiLevelType w:val="multilevel"/>
    <w:tmpl w:val="2EE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F653E"/>
    <w:multiLevelType w:val="multilevel"/>
    <w:tmpl w:val="7D62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E43CF"/>
    <w:multiLevelType w:val="multilevel"/>
    <w:tmpl w:val="61E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07D48"/>
    <w:multiLevelType w:val="multilevel"/>
    <w:tmpl w:val="E95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B55B0"/>
    <w:multiLevelType w:val="multilevel"/>
    <w:tmpl w:val="FA3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C0325"/>
    <w:multiLevelType w:val="multilevel"/>
    <w:tmpl w:val="B06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37203">
    <w:abstractNumId w:val="23"/>
  </w:num>
  <w:num w:numId="2" w16cid:durableId="1902904548">
    <w:abstractNumId w:val="17"/>
  </w:num>
  <w:num w:numId="3" w16cid:durableId="2081629945">
    <w:abstractNumId w:val="20"/>
  </w:num>
  <w:num w:numId="4" w16cid:durableId="1616787152">
    <w:abstractNumId w:val="1"/>
  </w:num>
  <w:num w:numId="5" w16cid:durableId="590429334">
    <w:abstractNumId w:val="12"/>
  </w:num>
  <w:num w:numId="6" w16cid:durableId="668949058">
    <w:abstractNumId w:val="0"/>
  </w:num>
  <w:num w:numId="7" w16cid:durableId="69352556">
    <w:abstractNumId w:val="15"/>
  </w:num>
  <w:num w:numId="8" w16cid:durableId="723675586">
    <w:abstractNumId w:val="4"/>
  </w:num>
  <w:num w:numId="9" w16cid:durableId="754742499">
    <w:abstractNumId w:val="14"/>
  </w:num>
  <w:num w:numId="10" w16cid:durableId="2138838475">
    <w:abstractNumId w:val="9"/>
  </w:num>
  <w:num w:numId="11" w16cid:durableId="517041066">
    <w:abstractNumId w:val="8"/>
  </w:num>
  <w:num w:numId="12" w16cid:durableId="1603875069">
    <w:abstractNumId w:val="22"/>
  </w:num>
  <w:num w:numId="13" w16cid:durableId="1268388778">
    <w:abstractNumId w:val="21"/>
  </w:num>
  <w:num w:numId="14" w16cid:durableId="1013529866">
    <w:abstractNumId w:val="24"/>
  </w:num>
  <w:num w:numId="15" w16cid:durableId="1273971535">
    <w:abstractNumId w:val="25"/>
  </w:num>
  <w:num w:numId="16" w16cid:durableId="1726638325">
    <w:abstractNumId w:val="19"/>
  </w:num>
  <w:num w:numId="17" w16cid:durableId="1673751479">
    <w:abstractNumId w:val="5"/>
  </w:num>
  <w:num w:numId="18" w16cid:durableId="792868084">
    <w:abstractNumId w:val="10"/>
  </w:num>
  <w:num w:numId="19" w16cid:durableId="9574631">
    <w:abstractNumId w:val="2"/>
  </w:num>
  <w:num w:numId="20" w16cid:durableId="1734159413">
    <w:abstractNumId w:val="11"/>
  </w:num>
  <w:num w:numId="21" w16cid:durableId="685211196">
    <w:abstractNumId w:val="7"/>
  </w:num>
  <w:num w:numId="22" w16cid:durableId="631443588">
    <w:abstractNumId w:val="16"/>
  </w:num>
  <w:num w:numId="23" w16cid:durableId="1945652433">
    <w:abstractNumId w:val="13"/>
  </w:num>
  <w:num w:numId="24" w16cid:durableId="1014913882">
    <w:abstractNumId w:val="18"/>
  </w:num>
  <w:num w:numId="25" w16cid:durableId="845826486">
    <w:abstractNumId w:val="6"/>
  </w:num>
  <w:num w:numId="26" w16cid:durableId="94878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D4"/>
    <w:rsid w:val="000B3FC6"/>
    <w:rsid w:val="001C1ABE"/>
    <w:rsid w:val="0037118B"/>
    <w:rsid w:val="0046444C"/>
    <w:rsid w:val="004E21C4"/>
    <w:rsid w:val="005A700C"/>
    <w:rsid w:val="00607229"/>
    <w:rsid w:val="00860ECF"/>
    <w:rsid w:val="008C753C"/>
    <w:rsid w:val="009A06D4"/>
    <w:rsid w:val="00A42E59"/>
    <w:rsid w:val="00AB1FA9"/>
    <w:rsid w:val="00C12B30"/>
    <w:rsid w:val="00CE4C73"/>
    <w:rsid w:val="00CF6E13"/>
    <w:rsid w:val="00F7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CB59F"/>
  <w15:chartTrackingRefBased/>
  <w15:docId w15:val="{8ABDA6CC-1262-004E-AA74-DFBAA884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D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9A06D4"/>
  </w:style>
  <w:style w:type="character" w:customStyle="1" w:styleId="scxw209497390">
    <w:name w:val="scxw209497390"/>
    <w:basedOn w:val="DefaultParagraphFont"/>
    <w:rsid w:val="009A06D4"/>
  </w:style>
  <w:style w:type="character" w:customStyle="1" w:styleId="eop">
    <w:name w:val="eop"/>
    <w:basedOn w:val="DefaultParagraphFont"/>
    <w:rsid w:val="009A06D4"/>
  </w:style>
  <w:style w:type="character" w:styleId="Strong">
    <w:name w:val="Strong"/>
    <w:basedOn w:val="DefaultParagraphFont"/>
    <w:uiPriority w:val="22"/>
    <w:qFormat/>
    <w:rsid w:val="00607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Pyrtle</dc:creator>
  <cp:keywords/>
  <dc:description/>
  <cp:lastModifiedBy>Kayla Pyrtle</cp:lastModifiedBy>
  <cp:revision>15</cp:revision>
  <dcterms:created xsi:type="dcterms:W3CDTF">2025-04-14T18:14:00Z</dcterms:created>
  <dcterms:modified xsi:type="dcterms:W3CDTF">2025-04-21T18:41:00Z</dcterms:modified>
</cp:coreProperties>
</file>