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Результаты выполнения восьми заданий Solana</w:t>
      </w:r>
    </w:p>
    <w:p>
      <w:pPr>
        <w:spacing w:after="160"/>
      </w:pPr>
      <w:r>
        <w:rPr>
          <w:color w:val="5F5F5F"/>
          <w:sz w:val="19"/>
        </w:rPr>
        <w:t>Состояние на 11 октября 2026 года</w:t>
      </w:r>
    </w:p>
    <w:p>
      <w:r>
        <w:rPr>
          <w:b/>
        </w:rPr>
        <w:t xml:space="preserve">В проекте реализованы задания 1–8. </w:t>
      </w:r>
      <w:r>
        <w:t>Все восемь заданий подтверждены проверками и транзакциями в Solana Devnet. Для заданий 4–6 программа собрана в SBF, развёрнута и вызвана через клиент. Ниже указано подтверждение каждого результата.</w:t>
      </w:r>
    </w:p>
    <w:p>
      <w:pPr>
        <w:pStyle w:val="Heading2"/>
      </w:pPr>
      <w:r>
        <w:t>1 Кошелёк и первая транзакция</w:t>
      </w:r>
    </w:p>
    <w:p>
      <w:pPr>
        <w:keepLines/>
      </w:pPr>
      <w:r>
        <w:t>Созданы два учебных кошелька. В Devnet отправлено 0,001 тестового SOL; получатель получил 1 000 000 lamports.</w:t>
      </w:r>
      <w:r>
        <w:rPr>
          <w:b/>
        </w:rPr>
        <w:t xml:space="preserve"> Подтверждение: </w:t>
      </w:r>
      <w:r>
        <w:t>транзакция и отчёт verification/learning-first-transfer.json.</w:t>
      </w:r>
    </w:p>
    <w:p>
      <w:pPr>
        <w:pStyle w:val="Heading2"/>
      </w:pPr>
      <w:r>
        <w:t>2 Разбор реальной транзакции</w:t>
      </w:r>
    </w:p>
    <w:p>
      <w:pPr>
        <w:keepLines/>
      </w:pPr>
      <w:r>
        <w:t>Разобрана транзакция задания 1: три account, System Program, инструкция transfer и комиссия 5 000 lamports.</w:t>
      </w:r>
      <w:r>
        <w:rPr>
          <w:b/>
        </w:rPr>
        <w:t xml:space="preserve"> Подтверждение: </w:t>
      </w:r>
      <w:r>
        <w:t>verification/learning-transaction-analysis.json и learning.html.</w:t>
      </w:r>
    </w:p>
    <w:p>
      <w:pPr>
        <w:pStyle w:val="Heading2"/>
      </w:pPr>
      <w:r>
        <w:t>3 Инструмент на Rust</w:t>
      </w:r>
    </w:p>
    <w:p>
      <w:pPr>
        <w:keepLines/>
      </w:pPr>
      <w:r>
        <w:t>Написан CLI для чтения баланса, аккаунта, программы и транзакции с проверкой genesis hash Devnet.</w:t>
      </w:r>
      <w:r>
        <w:rPr>
          <w:b/>
        </w:rPr>
        <w:t xml:space="preserve"> Подтверждение: </w:t>
      </w:r>
      <w:r>
        <w:t>learning/rust-cli/src/main.rs; cargo check и запросы к Devnet прошли.</w:t>
      </w:r>
    </w:p>
    <w:p>
      <w:pPr>
        <w:pStyle w:val="Heading2"/>
      </w:pPr>
      <w:r>
        <w:t>4 Первая Solana Program</w:t>
      </w:r>
    </w:p>
    <w:p>
      <w:pPr>
        <w:keepLines/>
      </w:pPr>
      <w:r>
        <w:t>Инструкция ping собрана в SBF, программа развёрнута в Devnet, вызов ping подтверждён транзакцией.</w:t>
      </w:r>
      <w:r>
        <w:rPr>
          <w:b/>
        </w:rPr>
        <w:t xml:space="preserve"> Подтверждение: </w:t>
      </w:r>
      <w:r>
        <w:t>learning/anchor/programs/antimatter_learning/src/lib.rs; verification/learning-sbf-build.json и learning-program-calls.json.</w:t>
      </w:r>
    </w:p>
    <w:p>
      <w:pPr>
        <w:pStyle w:val="Heading2"/>
      </w:pPr>
      <w:r>
        <w:t>5 Anchor Counter</w:t>
      </w:r>
    </w:p>
    <w:p>
      <w:pPr>
        <w:keepLines/>
      </w:pPr>
      <w:r>
        <w:t>Реализованы initialize_counter и increment_counter для PDA каждого кошелька с проверкой владельца и переполнения.</w:t>
      </w:r>
      <w:r>
        <w:rPr>
          <w:b/>
        </w:rPr>
        <w:t xml:space="preserve"> Подтверждение: </w:t>
      </w:r>
      <w:r>
        <w:t>Создание и увеличение подтверждены в Devnet: verification/learning-program-calls.json содержит адрес PDA, подписи и изменение счётчика.</w:t>
      </w:r>
    </w:p>
    <w:p>
      <w:pPr>
        <w:pStyle w:val="Heading2"/>
      </w:pPr>
      <w:r>
        <w:t>6 On-chain профиль через PDA</w:t>
      </w:r>
    </w:p>
    <w:p>
      <w:pPr>
        <w:keepLines/>
      </w:pPr>
      <w:r>
        <w:t>Реализованы создание и обновление профиля по PDA владельца с ограничениями длины полей; браузер читает состояние.</w:t>
      </w:r>
      <w:r>
        <w:rPr>
          <w:b/>
        </w:rPr>
        <w:t xml:space="preserve"> Подтверждение: </w:t>
      </w:r>
      <w:r>
        <w:t>Создание и обновление подтверждены в Devnet: verification/learning-program-calls.json содержит адрес PDA, подписи и содержимое профиля.</w:t>
      </w:r>
    </w:p>
    <w:p>
      <w:pPr>
        <w:pStyle w:val="Heading2"/>
      </w:pPr>
      <w:r>
        <w:t>7 SPL Token и метаданные</w:t>
      </w:r>
    </w:p>
    <w:p>
      <w:pPr>
        <w:keepLines/>
      </w:pPr>
      <w:r>
        <w:t>В Devnet выпущено 1000 AMT, реализован TransferChecked и создан аккаунт Metaplex Metadata с публичным JSON.</w:t>
      </w:r>
      <w:r>
        <w:rPr>
          <w:b/>
        </w:rPr>
        <w:t xml:space="preserve"> Подтверждение: </w:t>
      </w:r>
      <w:r>
        <w:t>verification/learning-week7-token.json и learning-week7-metadata.json.</w:t>
      </w:r>
    </w:p>
    <w:p>
      <w:pPr>
        <w:pStyle w:val="Heading2"/>
      </w:pPr>
      <w:r>
        <w:t>8 Работающий Web3 MVP</w:t>
      </w:r>
    </w:p>
    <w:p>
      <w:pPr>
        <w:keepLines/>
      </w:pPr>
      <w:r>
        <w:t>Прототип связывает два экранных кошелька, сверяет код и проверяет перевод. Клиентский путь зачислил 1 AMT в Devnet.</w:t>
      </w:r>
      <w:r>
        <w:rPr>
          <w:b/>
        </w:rPr>
        <w:t xml:space="preserve"> Подтверждение: </w:t>
      </w:r>
      <w:r>
        <w:t>desktop.html, src/amt.ts и verification/learning-week8-mvp.json; физическая близость браузером не измеряется.</w:t>
      </w:r>
    </w:p>
    <w:p>
      <w:pPr>
        <w:spacing w:before="200"/>
      </w:pPr>
      <w:r>
        <w:rPr>
          <w:b/>
        </w:rPr>
        <w:t xml:space="preserve">Общая проверка кода: </w:t>
      </w:r>
      <w:r>
        <w:t>44 теста и веб-сборка прошли. SBF-сборка в GitHub Actions завершилась успешно; Program ID, SHA-256 бинарника и сетевые вызовы заданий 4–6 проверены отдельно.</w:t>
      </w:r>
    </w:p>
    <w:p>
      <w:r>
        <w:br w:type="page"/>
      </w:r>
    </w:p>
    <w:p>
      <w:pPr>
        <w:pStyle w:val="Heading2"/>
        <w:spacing w:before="0"/>
      </w:pPr>
      <w:r>
        <w:t>Задание 1  Подтверждённый перевод</w:t>
      </w:r>
    </w:p>
    <w:p>
      <w:pPr>
        <w:keepNext/>
        <w:spacing w:after="60"/>
        <w:jc w:val="center"/>
      </w:pPr>
      <w:r>
        <w:drawing>
          <wp:inline xmlns:a="http://schemas.openxmlformats.org/drawingml/2006/main" xmlns:pic="http://schemas.openxmlformats.org/drawingml/2006/picture">
            <wp:extent cx="5832000" cy="20958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transfer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20958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after="160"/>
      </w:pPr>
      <w:r>
        <w:rPr>
          <w:color w:val="5F5F5F"/>
          <w:sz w:val="18"/>
        </w:rPr>
        <w:t>Снимок проверочного отчёта с подписью, слотом, комиссией и балансом получателя.</w:t>
      </w:r>
    </w:p>
    <w:p>
      <w:pPr>
        <w:pStyle w:val="Heading2"/>
        <w:spacing w:before="340"/>
      </w:pPr>
      <w:r>
        <w:t>Задание 2  Разбор транзакции</w:t>
      </w:r>
    </w:p>
    <w:p>
      <w:pPr>
        <w:keepNext/>
        <w:spacing w:after="60"/>
        <w:jc w:val="center"/>
      </w:pPr>
      <w:r>
        <w:drawing>
          <wp:inline xmlns:a="http://schemas.openxmlformats.org/drawingml/2006/main" xmlns:pic="http://schemas.openxmlformats.org/drawingml/2006/picture">
            <wp:extent cx="5832000" cy="209587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detectiv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20958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after="160"/>
      </w:pPr>
      <w:r>
        <w:rPr>
          <w:color w:val="5F5F5F"/>
          <w:sz w:val="18"/>
        </w:rPr>
        <w:t>Снимок отчёта с аккаунтами, System Program и инструкцией transfer.</w:t>
      </w:r>
    </w:p>
    <w:p>
      <w:r>
        <w:br w:type="page"/>
      </w:r>
    </w:p>
    <w:p>
      <w:pPr>
        <w:pStyle w:val="Heading2"/>
        <w:spacing w:before="0"/>
      </w:pPr>
      <w:r>
        <w:t>Задание 3  Вывод Rust CLI</w:t>
      </w:r>
    </w:p>
    <w:p>
      <w:pPr>
        <w:keepNext/>
        <w:spacing w:after="60"/>
        <w:jc w:val="center"/>
      </w:pPr>
      <w:r>
        <w:drawing>
          <wp:inline xmlns:a="http://schemas.openxmlformats.org/drawingml/2006/main" xmlns:pic="http://schemas.openxmlformats.org/drawingml/2006/picture">
            <wp:extent cx="5832000" cy="209587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rust-cli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20958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after="160"/>
      </w:pPr>
      <w:r>
        <w:rPr>
          <w:color w:val="5F5F5F"/>
          <w:sz w:val="18"/>
        </w:rPr>
        <w:t>Снимок результата повторного запуска CLI с данными Devnet-транзакции.</w:t>
      </w:r>
    </w:p>
    <w:p>
      <w:pPr>
        <w:pStyle w:val="Heading2"/>
        <w:spacing w:before="340"/>
      </w:pPr>
      <w:r>
        <w:t>Задание 4  Программа и ping</w:t>
      </w:r>
    </w:p>
    <w:p>
      <w:pPr>
        <w:keepNext/>
        <w:spacing w:after="60"/>
        <w:jc w:val="center"/>
      </w:pPr>
      <w:r>
        <w:drawing>
          <wp:inline xmlns:a="http://schemas.openxmlformats.org/drawingml/2006/main" xmlns:pic="http://schemas.openxmlformats.org/drawingml/2006/picture">
            <wp:extent cx="5832000" cy="209587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program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20958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after="160"/>
      </w:pPr>
      <w:r>
        <w:rPr>
          <w:color w:val="5F5F5F"/>
          <w:sz w:val="18"/>
        </w:rPr>
        <w:t>SBF SHA-256, Program ID и подписи транзакций развёртывания и вызова ping.</w:t>
      </w:r>
    </w:p>
    <w:p>
      <w:r>
        <w:br w:type="page"/>
      </w:r>
    </w:p>
    <w:p>
      <w:pPr>
        <w:pStyle w:val="Heading2"/>
        <w:spacing w:before="0"/>
      </w:pPr>
      <w:r>
        <w:t>Задание 5  Counter PDA</w:t>
      </w:r>
    </w:p>
    <w:p>
      <w:pPr>
        <w:keepNext/>
        <w:spacing w:after="60"/>
        <w:jc w:val="center"/>
      </w:pPr>
      <w:r>
        <w:drawing>
          <wp:inline xmlns:a="http://schemas.openxmlformats.org/drawingml/2006/main" xmlns:pic="http://schemas.openxmlformats.org/drawingml/2006/picture">
            <wp:extent cx="5832000" cy="209587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counter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20958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after="160"/>
      </w:pPr>
      <w:r>
        <w:rPr>
          <w:color w:val="5F5F5F"/>
          <w:sz w:val="18"/>
        </w:rPr>
        <w:t>Адрес PDA, подписи создания и увеличения, изменение значения счётчика.</w:t>
      </w:r>
    </w:p>
    <w:p>
      <w:pPr>
        <w:pStyle w:val="Heading2"/>
        <w:spacing w:before="340"/>
      </w:pPr>
      <w:r>
        <w:t>Задание 6  Profile PDA</w:t>
      </w:r>
    </w:p>
    <w:p>
      <w:pPr>
        <w:keepNext/>
        <w:spacing w:after="60"/>
        <w:jc w:val="center"/>
      </w:pPr>
      <w:r>
        <w:drawing>
          <wp:inline xmlns:a="http://schemas.openxmlformats.org/drawingml/2006/main" xmlns:pic="http://schemas.openxmlformats.org/drawingml/2006/picture">
            <wp:extent cx="5832000" cy="209587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profil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20958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after="160"/>
      </w:pPr>
      <w:r>
        <w:rPr>
          <w:color w:val="5F5F5F"/>
          <w:sz w:val="18"/>
        </w:rPr>
        <w:t>Адрес PDA, подписи создания и обновления, сохранённые имя и описание.</w:t>
      </w:r>
    </w:p>
    <w:p>
      <w:r>
        <w:br w:type="page"/>
      </w:r>
    </w:p>
    <w:p>
      <w:pPr>
        <w:pStyle w:val="Heading2"/>
        <w:spacing w:before="0"/>
      </w:pPr>
      <w:r>
        <w:t>Задание 7  AMT и метаданные</w:t>
      </w:r>
    </w:p>
    <w:p>
      <w:pPr>
        <w:keepNext/>
        <w:spacing w:after="60"/>
        <w:jc w:val="center"/>
      </w:pPr>
      <w:r>
        <w:drawing>
          <wp:inline xmlns:a="http://schemas.openxmlformats.org/drawingml/2006/main" xmlns:pic="http://schemas.openxmlformats.org/drawingml/2006/picture">
            <wp:extent cx="5832000" cy="2095875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-toke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20958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after="160"/>
      </w:pPr>
      <w:r>
        <w:rPr>
          <w:color w:val="5F5F5F"/>
          <w:sz w:val="18"/>
        </w:rPr>
        <w:t>Снимок отчёта с mint, адресом метаданных и подтверждённой транзакцией создания.</w:t>
      </w:r>
    </w:p>
    <w:p>
      <w:pPr>
        <w:pStyle w:val="Heading2"/>
        <w:spacing w:before="340"/>
      </w:pPr>
      <w:r>
        <w:t>Задание 8  Web3 MVP</w:t>
      </w:r>
    </w:p>
    <w:p>
      <w:pPr>
        <w:keepNext/>
        <w:spacing w:after="60"/>
        <w:jc w:val="center"/>
      </w:pPr>
      <w:r>
        <w:drawing>
          <wp:inline xmlns:a="http://schemas.openxmlformats.org/drawingml/2006/main" xmlns:pic="http://schemas.openxmlformats.org/drawingml/2006/picture">
            <wp:extent cx="5832000" cy="2095875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-mvp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20958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after="160"/>
      </w:pPr>
      <w:r>
        <w:rPr>
          <w:color w:val="5F5F5F"/>
          <w:sz w:val="18"/>
        </w:rPr>
        <w:t>Снимок отчёта о подтверждённом переводе 1 AMT и приросте баланса получателя.</w:t>
      </w:r>
    </w:p>
    <w:p>
      <w:pPr>
        <w:spacing w:before="200"/>
      </w:pPr>
      <w:r>
        <w:rPr>
          <w:b/>
        </w:rPr>
        <w:t xml:space="preserve">Источник снимков: </w:t>
      </w:r>
      <w:r>
        <w:t>публичные отчёты Devnet, исходники проекта и повторно выполненные локальные команды. Снимки 4–6 содержат подписи подтверждённых транзакций и состояние PDA. Снимок 8 подтверждает сетевой перевод через код приложения; экранный сценарий двух устройств представлен отдельно в desktop.html.</w:t>
      </w:r>
    </w:p>
    <w:sectPr w:rsidR="00FC693F" w:rsidRPr="0006063C" w:rsidSect="00034616">
      <w:pgSz w:w="11906" w:h="16838"/>
      <w:pgMar w:top="1219" w:right="1304" w:bottom="1134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Arial" w:hAnsi="Arial"/>
      <w:color w:val="141414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40" w:after="40"/>
      <w:outlineLvl w:val="1"/>
    </w:pPr>
    <w:rPr>
      <w:rFonts w:asciiTheme="majorHAnsi" w:eastAsiaTheme="majorEastAsia" w:hAnsiTheme="majorHAnsi" w:cstheme="majorBidi" w:ascii="Arial" w:hAnsi="Arial"/>
      <w:b/>
      <w:bCs/>
      <w:color w:val="000000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220" w:line="240" w:lineRule="auto"/>
      <w:contextualSpacing/>
      <w:pBdr>
        <w:bottom w:val="nil"/>
      </w:pBdr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4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Результаты выполнения восьми заданий Solana</dc:title>
  <dc:subject>Подтверждение результатов заданий 1–8 в проекте ANTIMATTER</dc:subject>
  <dc:creator>ANTIMATTER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