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6DB"/>
          <w:sz w:val="44"/>
        </w:rPr>
        <w:t>OpenLoyalty.io — Pipeline Analysis</w:t>
      </w:r>
    </w:p>
    <w:p>
      <w:r>
        <w:rPr>
          <w:color w:val="6B7280"/>
          <w:sz w:val="20"/>
        </w:rPr>
        <w:t>Q1 &amp; Q2 2026  |  MQL · Opportunity · Customer  |  Source: HubSpot + GSC</w:t>
      </w:r>
    </w:p>
    <w:p/>
    <w:p>
      <w:pPr>
        <w:spacing w:before="280" w:after="80"/>
      </w:pPr>
      <w:r>
        <w:rPr>
          <w:b/>
          <w:color w:val="1A56DB"/>
          <w:sz w:val="32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F0FE"/>
            <w:tcBorders>
              <w:top w:val="single" w:sz="4" w:color="AACCFF"/>
              <w:left w:val="single" w:sz="4" w:color="AACCFF"/>
              <w:bottom w:val="single" w:sz="4" w:color="AACCFF"/>
              <w:right w:val="single" w:sz="4" w:color="AACCFF"/>
            </w:tcBorders>
          </w:tcPr>
          <w:p/>
          <w:p>
            <w:pPr>
              <w:spacing w:before="0" w:after="0"/>
              <w:jc w:val="center"/>
            </w:pPr>
            <w:r>
              <w:rPr>
                <w:b/>
                <w:color w:val="1A56DB"/>
                <w:sz w:val="36"/>
              </w:rPr>
              <w:t>429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111827"/>
                <w:sz w:val="18"/>
              </w:rPr>
              <w:br/>
              <w:t>Total Pipeline Contacts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6B7280"/>
                <w:sz w:val="16"/>
              </w:rPr>
              <w:br/>
              <w:t>Q1 + Q2 2026</w:t>
            </w:r>
          </w:p>
        </w:tc>
        <w:tc>
          <w:tcPr>
            <w:tcW w:type="dxa" w:w="1994"/>
            <w:shd w:val="clear" w:color="auto" w:fill="E8F0FE"/>
            <w:tcBorders>
              <w:top w:val="single" w:sz="4" w:color="AACCFF"/>
              <w:left w:val="single" w:sz="4" w:color="AACCFF"/>
              <w:bottom w:val="single" w:sz="4" w:color="AACCFF"/>
              <w:right w:val="single" w:sz="4" w:color="AACCFF"/>
            </w:tcBorders>
          </w:tcPr>
          <w:p/>
          <w:p>
            <w:pPr>
              <w:spacing w:before="0" w:after="0"/>
              <w:jc w:val="center"/>
            </w:pPr>
            <w:r>
              <w:rPr>
                <w:b/>
                <w:color w:val="1A56DB"/>
                <w:sz w:val="36"/>
              </w:rPr>
              <w:t>201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111827"/>
                <w:sz w:val="18"/>
              </w:rPr>
              <w:br/>
              <w:t>MQLs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6B7280"/>
                <w:sz w:val="16"/>
              </w:rPr>
              <w:br/>
              <w:t>Q1: 142  |  Q2: 59</w:t>
            </w:r>
          </w:p>
        </w:tc>
        <w:tc>
          <w:tcPr>
            <w:tcW w:type="dxa" w:w="1994"/>
            <w:shd w:val="clear" w:color="auto" w:fill="E8F0FE"/>
            <w:tcBorders>
              <w:top w:val="single" w:sz="4" w:color="AACCFF"/>
              <w:left w:val="single" w:sz="4" w:color="AACCFF"/>
              <w:bottom w:val="single" w:sz="4" w:color="AACCFF"/>
              <w:right w:val="single" w:sz="4" w:color="AACCFF"/>
            </w:tcBorders>
          </w:tcPr>
          <w:p/>
          <w:p>
            <w:pPr>
              <w:spacing w:before="0" w:after="0"/>
              <w:jc w:val="center"/>
            </w:pPr>
            <w:r>
              <w:rPr>
                <w:b/>
                <w:color w:val="1A56DB"/>
                <w:sz w:val="36"/>
              </w:rPr>
              <w:t>227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111827"/>
                <w:sz w:val="18"/>
              </w:rPr>
              <w:br/>
              <w:t>Opportunities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6B7280"/>
                <w:sz w:val="16"/>
              </w:rPr>
              <w:br/>
              <w:t>Q1: 135  |  Q2: 92</w:t>
            </w:r>
          </w:p>
        </w:tc>
        <w:tc>
          <w:tcPr>
            <w:tcW w:type="dxa" w:w="1994"/>
            <w:shd w:val="clear" w:color="auto" w:fill="E8F0FE"/>
            <w:tcBorders>
              <w:top w:val="single" w:sz="4" w:color="AACCFF"/>
              <w:left w:val="single" w:sz="4" w:color="AACCFF"/>
              <w:bottom w:val="single" w:sz="4" w:color="AACCFF"/>
              <w:right w:val="single" w:sz="4" w:color="AACCFF"/>
            </w:tcBorders>
          </w:tcPr>
          <w:p/>
          <w:p>
            <w:pPr>
              <w:spacing w:before="0" w:after="0"/>
              <w:jc w:val="center"/>
            </w:pPr>
            <w:r>
              <w:rPr>
                <w:b/>
                <w:color w:val="1A56DB"/>
                <w:sz w:val="36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111827"/>
                <w:sz w:val="18"/>
              </w:rPr>
              <w:br/>
              <w:t>Customers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6B7280"/>
                <w:sz w:val="16"/>
              </w:rPr>
              <w:br/>
              <w:t>Q1: 1  |  Q2: 0</w:t>
            </w:r>
          </w:p>
        </w:tc>
        <w:tc>
          <w:tcPr>
            <w:tcW w:type="dxa" w:w="1994"/>
            <w:shd w:val="clear" w:color="auto" w:fill="E8F0FE"/>
            <w:tcBorders>
              <w:top w:val="single" w:sz="4" w:color="AACCFF"/>
              <w:left w:val="single" w:sz="4" w:color="AACCFF"/>
              <w:bottom w:val="single" w:sz="4" w:color="AACCFF"/>
              <w:right w:val="single" w:sz="4" w:color="AACCFF"/>
            </w:tcBorders>
          </w:tcPr>
          <w:p/>
          <w:p>
            <w:pPr>
              <w:spacing w:before="0" w:after="0"/>
              <w:jc w:val="center"/>
            </w:pPr>
            <w:r>
              <w:rPr>
                <w:b/>
                <w:color w:val="1A56DB"/>
                <w:sz w:val="36"/>
              </w:rPr>
              <w:t>113%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111827"/>
                <w:sz w:val="18"/>
              </w:rPr>
              <w:br/>
              <w:t>MQL→Opp Rate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6B7280"/>
                <w:sz w:val="16"/>
              </w:rPr>
              <w:br/>
              <w:t>Opportunity ÷ MQL</w:t>
            </w:r>
          </w:p>
        </w:tc>
      </w:tr>
    </w:tbl>
    <w:p/>
    <w:p>
      <w:pPr>
        <w:spacing w:before="200" w:after="80"/>
      </w:pPr>
      <w:r>
        <w:rPr>
          <w:b/>
          <w:color w:val="111827"/>
          <w:sz w:val="26"/>
        </w:rPr>
        <w:t>Monthly Volume by Lifecycle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Quarter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MQL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Customer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198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Jan 26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Q1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78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36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7E3AF2"/>
                <w:sz w:val="17"/>
              </w:rPr>
              <w:t>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115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Feb 26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Q1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29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49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78</w:t>
            </w:r>
          </w:p>
        </w:tc>
      </w:tr>
      <w:tr>
        <w:tc>
          <w:tcPr>
            <w:tcW w:type="dxa" w:w="198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Mar 26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Q1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35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50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85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Apr 26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Q2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30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39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69</w:t>
            </w:r>
          </w:p>
        </w:tc>
      </w:tr>
      <w:tr>
        <w:tc>
          <w:tcPr>
            <w:tcW w:type="dxa" w:w="198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May 26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Q2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25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48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73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Jun 26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Q2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4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5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9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2. Acquisition Source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MQL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Customer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3118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Organic Search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85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121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206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Direct Traffic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71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65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136</w:t>
            </w:r>
          </w:p>
        </w:tc>
      </w:tr>
      <w:tr>
        <w:tc>
          <w:tcPr>
            <w:tcW w:type="dxa" w:w="3118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Paid Search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23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17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AI Referrals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19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7E3AF2"/>
                <w:sz w:val="17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36</w:t>
            </w:r>
          </w:p>
        </w:tc>
      </w:tr>
      <w:tr>
        <w:tc>
          <w:tcPr>
            <w:tcW w:type="dxa" w:w="3118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Referrals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4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7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Offline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</w:t>
            </w:r>
          </w:p>
        </w:tc>
      </w:tr>
      <w:tr>
        <w:tc>
          <w:tcPr>
            <w:tcW w:type="dxa" w:w="3118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Social Media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111827"/>
                <w:sz w:val="17"/>
              </w:rPr>
              <w:t>TOTAL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A56DB"/>
                <w:sz w:val="17"/>
              </w:rPr>
              <w:t>201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057A55"/>
                <w:sz w:val="17"/>
              </w:rPr>
              <w:t>227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7E3AF2"/>
                <w:sz w:val="17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429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Key insight: Organic Search + AI Referrals = 56% of total pipeline. AI Referrals already outperform Social Media and Referral channels combined, validating investment in AI Overview inclusion.</w:t>
      </w:r>
    </w:p>
    <w:p>
      <w:pPr>
        <w:spacing w:before="280" w:after="80"/>
      </w:pPr>
      <w:r>
        <w:rPr>
          <w:b/>
          <w:color w:val="1A56DB"/>
          <w:sz w:val="32"/>
        </w:rPr>
        <w:t>3. Top Pages by Pipeline Stage</w:t>
      </w:r>
    </w:p>
    <w:p>
      <w:pPr>
        <w:spacing w:before="40" w:after="80"/>
      </w:pPr>
      <w:r>
        <w:rPr>
          <w:color w:val="6B7280"/>
          <w:sz w:val="18"/>
        </w:rPr>
        <w:t>Pages ranked by combined MQL + Opportunity count. Slug = path after openloyalty.io.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Page (slug)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MQL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Customer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/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108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125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233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2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/pricing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3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/book-a-demo-contact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9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20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29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4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/es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9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7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16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5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/applications/white-label-loyalty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4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15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6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/insider/best-loyalty-software-comparison-guide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8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4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12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7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/technology/loyalty-program-api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6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4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10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8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/product/loyalty-card-system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9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/resources/10-best-gamification-loyalty-programs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4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10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/product/loyalty-points-system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11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/product/code-scanning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12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/product/vouchers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13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/insider/sephora-beauty-insider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14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/insider/rewards-program-software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15</w:t>
            </w:r>
          </w:p>
        </w:tc>
        <w:tc>
          <w:tcPr>
            <w:tcW w:type="dxa" w:w="481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/insider/best-gamification-software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</w:tbl>
    <w:p/>
    <w:p>
      <w:pPr>
        <w:spacing w:before="200" w:after="80"/>
      </w:pPr>
      <w:r>
        <w:rPr>
          <w:b/>
          <w:color w:val="111827"/>
          <w:sz w:val="26"/>
        </w:rPr>
        <w:t>Top Pages: Q1 vs Q2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386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Page (slug)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Q1 2026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Q2 2026</w:t>
            </w:r>
          </w:p>
        </w:tc>
        <w:tc>
          <w:tcPr>
            <w:tcW w:type="dxa" w:w="124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Δ Q1→Q2</w:t>
            </w:r>
          </w:p>
        </w:tc>
      </w:tr>
      <w:tr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136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97</w:t>
            </w:r>
          </w:p>
        </w:tc>
        <w:tc>
          <w:tcPr>
            <w:tcW w:type="dxa" w:w="124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-39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/pricing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10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-11</w:t>
            </w:r>
          </w:p>
        </w:tc>
      </w:tr>
      <w:tr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/book-a-demo-contact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19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10</w:t>
            </w:r>
          </w:p>
        </w:tc>
        <w:tc>
          <w:tcPr>
            <w:tcW w:type="dxa" w:w="124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-9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-10</w:t>
            </w:r>
          </w:p>
        </w:tc>
      </w:tr>
      <w:tr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/applications/white-label-loyalty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12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24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-9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/insider/best-loyalty-software-comparison-guide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9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-6</w:t>
            </w:r>
          </w:p>
        </w:tc>
      </w:tr>
      <w:tr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/technology/loyalty-program-api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7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24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-4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/product/loyalty-card-system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-2</w:t>
            </w:r>
          </w:p>
        </w:tc>
      </w:tr>
      <w:tr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/resources/10-best-gamification-loyalty-programs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24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-2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111827"/>
                <w:sz w:val="17"/>
              </w:rPr>
              <w:t>/product/loyalty-points-system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E02A2A"/>
                <w:sz w:val="17"/>
              </w:rPr>
              <w:t>-3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4. Top Organic Keywords by Pipeline Stage</w:t>
      </w:r>
    </w:p>
    <w:p>
      <w:pPr>
        <w:spacing w:before="40" w:after="80"/>
      </w:pPr>
      <w:r>
        <w:rPr>
          <w:color w:val="6B7280"/>
          <w:sz w:val="18"/>
        </w:rPr>
        <w:t>Branded terms (open loyalty, openloyalty, etc.) excluded. Source = ORGANIC_SEARCH contacts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Keyword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MQL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loyalty program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3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5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loyalty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2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3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customer loyalty software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3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loyalty platforms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5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api loyalty program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6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"customer loyalty platform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7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loyalty program platforms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2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8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white label rewards platform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9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white label loyalty rewards program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10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white label loyalty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11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loyalty solution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12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how much does it cost to implement a loyalty program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13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customer loyalty card software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14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cashback software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15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beauty account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16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ai integration with crm, pos, and loyalty data platforms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17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10-benefits-outsourcing-customer-loyalty-retail-programs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18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loyalty 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19</w:t>
            </w:r>
          </w:p>
        </w:tc>
        <w:tc>
          <w:tcPr>
            <w:tcW w:type="dxa" w:w="538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crm loyalty program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134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20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are loyalty rewards automatically applied to repeat pizza orders?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6B7280"/>
                <w:sz w:val="17"/>
              </w:rPr>
              <w:t>0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5. Top Countries by Pipeline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252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Country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MQL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Opportunity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</w:t>
            </w:r>
          </w:p>
        </w:tc>
        <w:tc>
          <w:tcPr>
            <w:tcW w:type="dxa" w:w="4252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United States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28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56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84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2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India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15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19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34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3</w:t>
            </w:r>
          </w:p>
        </w:tc>
        <w:tc>
          <w:tcPr>
            <w:tcW w:type="dxa" w:w="4252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United Kingdom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13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18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31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4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Poland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6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17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5</w:t>
            </w:r>
          </w:p>
        </w:tc>
        <w:tc>
          <w:tcPr>
            <w:tcW w:type="dxa" w:w="4252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Canada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7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9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16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6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Spain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6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16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7</w:t>
            </w:r>
          </w:p>
        </w:tc>
        <w:tc>
          <w:tcPr>
            <w:tcW w:type="dxa" w:w="4252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Australia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7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6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8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South Africa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5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5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10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9</w:t>
            </w:r>
          </w:p>
        </w:tc>
        <w:tc>
          <w:tcPr>
            <w:tcW w:type="dxa" w:w="4252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Israel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5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2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7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10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Nigeria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4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5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11</w:t>
            </w:r>
          </w:p>
        </w:tc>
        <w:tc>
          <w:tcPr>
            <w:tcW w:type="dxa" w:w="4252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Ukraine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3</w:t>
            </w:r>
          </w:p>
        </w:tc>
        <w:tc>
          <w:tcPr>
            <w:tcW w:type="dxa" w:w="1701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1</w:t>
            </w:r>
          </w:p>
        </w:tc>
        <w:tc>
          <w:tcPr>
            <w:tcW w:type="dxa" w:w="1417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color w:val="6B7280"/>
                <w:sz w:val="17"/>
              </w:rPr>
              <w:t>12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11827"/>
                <w:sz w:val="17"/>
              </w:rPr>
              <w:t>Singapore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1A56DB"/>
                <w:sz w:val="17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 w:val="0"/>
                <w:color w:val="057A55"/>
                <w:sz w:val="17"/>
              </w:rPr>
              <w:t>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color w:val="111827"/>
                <w:sz w:val="17"/>
              </w:rPr>
              <w:t>4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6. Strategic Insights &amp; Recommendations</w:t>
      </w:r>
    </w:p>
    <w:p>
      <w:pPr>
        <w:spacing w:before="120" w:after="40"/>
      </w:pPr>
      <w:r>
        <w:rPr>
          <w:b/>
          <w:color w:val="111827"/>
          <w:sz w:val="20"/>
        </w:rPr>
        <w:t>1. Homepage dominates (54% of pipeline)</w:t>
      </w:r>
    </w:p>
    <w:p>
      <w:pPr>
        <w:spacing w:before="40" w:after="80"/>
      </w:pPr>
      <w:r>
        <w:rPr>
          <w:color w:val="6B7280"/>
          <w:sz w:val="18"/>
        </w:rPr>
        <w:t>/ drives 233 combined MQL+Opp contacts — far above any other page. Homepage brand authority and broad 'loyalty' search rankings are the single highest-leverage SEO asset.</w:t>
      </w:r>
    </w:p>
    <w:p>
      <w:pPr>
        <w:spacing w:before="120" w:after="40"/>
      </w:pPr>
      <w:r>
        <w:rPr>
          <w:b/>
          <w:color w:val="111827"/>
          <w:sz w:val="20"/>
        </w:rPr>
        <w:t>2. Comparison guide is the #1 content asset</w:t>
      </w:r>
    </w:p>
    <w:p>
      <w:pPr>
        <w:spacing w:before="40" w:after="80"/>
      </w:pPr>
      <w:r>
        <w:rPr>
          <w:color w:val="6B7280"/>
          <w:sz w:val="18"/>
        </w:rPr>
        <w:t>/insider/best-loyalty-software-comparison-guide generates 12 contacts and is the highest-converting blog post. Keep it fresh, expand competitor sections, and build backlinks to it (current gap: ~24 RDs needed).</w:t>
      </w:r>
    </w:p>
    <w:p>
      <w:pPr>
        <w:spacing w:before="120" w:after="40"/>
      </w:pPr>
      <w:r>
        <w:rPr>
          <w:b/>
          <w:color w:val="111827"/>
          <w:sz w:val="20"/>
        </w:rPr>
        <w:t>3. API/developer content converts</w:t>
      </w:r>
    </w:p>
    <w:p>
      <w:pPr>
        <w:spacing w:before="40" w:after="80"/>
      </w:pPr>
      <w:r>
        <w:rPr>
          <w:color w:val="6B7280"/>
          <w:sz w:val="18"/>
        </w:rPr>
        <w:t>/technology/loyalty-program-api drives 10 contacts with keywords like 'api loyalty program' and 'api driven loyalty platform'. Talon.one outranks OL here — expand this page and build technical backlinks.</w:t>
      </w:r>
    </w:p>
    <w:p>
      <w:pPr>
        <w:spacing w:before="120" w:after="40"/>
      </w:pPr>
      <w:r>
        <w:rPr>
          <w:b/>
          <w:color w:val="111827"/>
          <w:sz w:val="20"/>
        </w:rPr>
        <w:t>4. White-label is a high-value segment</w:t>
      </w:r>
    </w:p>
    <w:p>
      <w:pPr>
        <w:spacing w:before="40" w:after="80"/>
      </w:pPr>
      <w:r>
        <w:rPr>
          <w:color w:val="6B7280"/>
          <w:sz w:val="18"/>
        </w:rPr>
        <w:t>/applications/white-label-loyalty (15 contacts) + white-label keywords confirm a dedicated buyer segment. This page needs dedicated link-building investment.</w:t>
      </w:r>
    </w:p>
    <w:p>
      <w:pPr>
        <w:spacing w:before="120" w:after="40"/>
      </w:pPr>
      <w:r>
        <w:rPr>
          <w:b/>
          <w:color w:val="111827"/>
          <w:sz w:val="20"/>
        </w:rPr>
        <w:t>5. Spanish homepage converts above most product pages</w:t>
      </w:r>
    </w:p>
    <w:p>
      <w:pPr>
        <w:spacing w:before="40" w:after="80"/>
      </w:pPr>
      <w:r>
        <w:rPr>
          <w:color w:val="6B7280"/>
          <w:sz w:val="18"/>
        </w:rPr>
        <w:t>/es generates 16 pipeline contacts — more than all but 3 pages. Suggests significant underinvested Spanish-language SEO opportunity (LATAM/EU).</w:t>
      </w:r>
    </w:p>
    <w:p>
      <w:pPr>
        <w:spacing w:before="120" w:after="40"/>
      </w:pPr>
      <w:r>
        <w:rPr>
          <w:b/>
          <w:color w:val="111827"/>
          <w:sz w:val="20"/>
        </w:rPr>
        <w:t>6. AI Referrals = 36 contacts (8% of pipeline)</w:t>
      </w:r>
    </w:p>
    <w:p>
      <w:pPr>
        <w:spacing w:before="40" w:after="80"/>
      </w:pPr>
      <w:r>
        <w:rPr>
          <w:color w:val="6B7280"/>
          <w:sz w:val="18"/>
        </w:rPr>
        <w:t>Already outperforming Social Media and Referrals combined. Validates prioritizing AI Overview inclusion for 'loyalty software', schema markup, and brand mention building.</w:t>
      </w:r>
    </w:p>
    <w:p>
      <w:pPr>
        <w:spacing w:before="120" w:after="40"/>
      </w:pPr>
      <w:r>
        <w:rPr>
          <w:b/>
          <w:color w:val="111827"/>
          <w:sz w:val="20"/>
        </w:rPr>
        <w:t>7. Q1→Q2 MQL decline (-59%)</w:t>
      </w:r>
    </w:p>
    <w:p>
      <w:pPr>
        <w:spacing w:before="40" w:after="80"/>
      </w:pPr>
      <w:r>
        <w:rPr>
          <w:color w:val="6B7280"/>
          <w:sz w:val="18"/>
        </w:rPr>
        <w:t>MQLs dropped from 142 (Q1) to 59 (Q2). Opportunity held steadier (135→92). Likely reflects AI Overview capturing top-3 SERP positions for head terms. Monitor monthly — if trend continues, AI citation strategy becomes urgent.</w:t>
      </w:r>
    </w:p>
    <w:p>
      <w:pPr>
        <w:spacing w:before="120" w:after="40"/>
      </w:pPr>
      <w:r>
        <w:rPr>
          <w:b/>
          <w:color w:val="111827"/>
          <w:sz w:val="20"/>
        </w:rPr>
        <w:t>8. Opportunity/MQL ratio = 113%</w:t>
      </w:r>
    </w:p>
    <w:p>
      <w:pPr>
        <w:spacing w:before="40" w:after="80"/>
      </w:pPr>
      <w:r>
        <w:rPr>
          <w:color w:val="6B7280"/>
          <w:sz w:val="18"/>
        </w:rPr>
        <w:t>More Opportunities than MQLs (227 vs 201) suggests some contacts are entering HubSpot directly at Opportunity stage (e.g. demo requests). The /book-a-demo-contact page confirms this — 29 contacts, 20 of them Opportunities.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