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pStyle w:val="Title"/>
        <w:jc w:val="center"/>
      </w:pPr>
      <w:r>
        <w:rPr>
          <w:b/>
          <w:bCs/>
        </w:rPr>
        <w:t xml:space="preserve">WorkBuddy 用户增长策略与用户分布深度分析报告</w:t>
      </w:r>
    </w:p>
    <w:p>
      <w:pPr>
        <w:pStyle w:val="Subtitle"/>
        <w:jc w:val="center"/>
      </w:pPr>
      <w:r>
        <w:t xml:space="preserve">——腾讯AI办公智能体的爆发式增长解构</w:t>
      </w:r>
    </w:p>
    <w:p>
      <w:pPr>
        <w:jc w:val="center"/>
      </w:pPr>
      <w:r>
        <w:t xml:space="preserve">AI深度研究 | 2026年9月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目录</w:t>
      </w:r>
    </w:p>
    <w:p>
      <w:sdt>
        <w:sdtPr>
          <w:alias w:val="（在 Word/WPS 中右键此处 → 更新域，以显示目录及页码）"/>
        </w:sdtPr>
        <w:sdtContent>
          <w:p>
            <w:r>
              <w:fldChar w:fldCharType="begin" w:dirty="true"/>
              <w:instrText xml:space="preserve">TOC \h \o "1-3"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r>
          <w:br w:type="page"/>
        </w:r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2"/>
      </w:pPr>
      <w:bookmarkStart w:name="toc-anchor-0" w:id="1"/>
      <w:r>
        <w:t xml:space="preserve">一、WorkBuddy 产品概述</w:t>
      </w:r>
      <w:bookmarkEnd w:id="1"/>
    </w:p>
    <w:p>
      <w:r>
        <w:t xml:space="preserve">WorkBuddy 是腾讯旗下的 AI 办公智能体（AI Agent），2026年3月9日正式公测，定位为全场景 AI 办公工作台。它脱胎于腾讯云的 AI 编程助手 CodeBuddy，由汪晟杰团队在2026年1月用一个周末完成0.01原型后内部测试，3月正式对外发布。</w:t>
      </w:r>
    </w:p>
    <w:p>
      <w:r>
        <w:t xml:space="preserve">与传统 AI 聊天工具（ChatGPT、Kimi、豆包等）的核心区别在于：它不只"动嘴"还"动手"——能自主拆解任务、调用工具、读写文件、运行代码、操作电脑，最终交付可验收的结果（文件、报告、代码等），而非仅给出文字建议。马化腾在Q1财报中亲自评价："以日活跃数计算，是中国使用最广的效率AI智能体服务。"</w:t>
      </w:r>
    </w:p>
    <w:p>
      <w:pPr>
        <w:pStyle w:val="Heading2"/>
      </w:pPr>
      <w:bookmarkStart w:name="toc-anchor-1" w:id="2"/>
      <w:r>
        <w:t xml:space="preserve">二、3000多万用户的真实含义</w:t>
      </w:r>
      <w:bookmarkEnd w:id="2"/>
    </w:p>
    <w:p>
      <w:r>
        <w:t xml:space="preserve">首先需要厘清一个关键事实："3000多万"指的是中国 AI 办公桌面端月活跃用户总市场规模，而非 WorkBuddy 单家用户数。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中国AI办公桌面端总MAU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约3000万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AI产品榜·桌面榜（2026年7月）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WorkBuddy桌面端MAU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1115.23万（占比约37%）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百度搭子MAU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674.30万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WorkBuddy+百度搭子合计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约1800万（占市场约60%）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WorkBuddy全平台MAU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2000万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易观分析（2026年6月）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WorkBuddy全平台DAU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1300万+（内部口径向2000万看齐）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易观数据/腾讯内部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 PC端月访问量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2097万次（超过第二、三名之和）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易观分析（2026年6月）</w:t>
            </w:r>
          </w:p>
        </w:tc>
      </w:tr>
    </w:tbl>
    <w:p>
      <w:r>
        <w:t xml:space="preserve">结论：WorkBuddy 在约3000万的中国 AI 办公市场中占据约三分之一份额，以绝对优势排名第一。</w:t>
      </w:r>
    </w:p>
    <w:p>
      <w:pPr>
        <w:pStyle w:val="Heading2"/>
      </w:pPr>
      <w:bookmarkStart w:name="toc-anchor-2" w:id="3"/>
      <w:r>
        <w:t xml:space="preserve">三、用户增长时间线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关键数据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2025.12-2026.02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内部两轮公测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400名额4小时抢空，后扩至2000+员工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2026.03.09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正式公测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上线第二天服务器承压，紧急扩容10倍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公测首月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PC端月访问量885万，环比增速831%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持续增长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PC端月访问量885万，环比72.2%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企业版发布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全平台MAU 2000万，DAU 1300万，PC端月访问2097万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桌面榜第一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桌面端MAU 1115万，环比增长304%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2026.08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持续扩张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内部迭代52个版本，覆盖超50个行业</w:t>
            </w:r>
          </w:p>
        </w:tc>
      </w:tr>
    </w:tbl>
    <w:p>
      <w:r>
        <w:t xml:space="preserve">从3月到6月，仅用3个月实现从0到2000万MAU，增速在中国 AI 应用史上前所未有。</w:t>
      </w:r>
    </w:p>
    <w:p>
      <w:r>
        <w:r>
          <w:br w:type="page"/>
        </w:r>
      </w:r>
    </w:p>
    <w:p>
      <w:pPr>
        <w:pStyle w:val="Heading2"/>
      </w:pPr>
      <w:bookmarkStart w:name="toc-anchor-3" w:id="4"/>
      <w:r>
        <w:t xml:space="preserve">四、快速用户增长的六大核心策略</w:t>
      </w:r>
      <w:bookmarkEnd w:id="4"/>
    </w:p>
    <w:p>
      <w:pPr>
        <w:pStyle w:val="Heading3"/>
      </w:pPr>
      <w:bookmarkStart w:name="toc-anchor-4" w:id="5"/>
      <w:r>
        <w:t xml:space="preserve">策略1：产品差异化——从"聊天AI"到"干活AI"</w:t>
      </w:r>
      <w:bookmarkEnd w:id="5"/>
    </w:p>
    <w:p>
      <w:r>
        <w:t xml:space="preserve">这是最根本的增长引擎。传统 AI 工具 DAU/MAU 仅约20%（用完即走），而 WorkBuddy 的 DAU/MAU 高达65%-75%，逼近 Slack 巅峰期黏性。</w:t>
      </w:r>
    </w:p>
    <w:p>
      <w:r>
        <w:t xml:space="preserve">原因：用户用人话下指令（如"把下载文件夹里上周销售数据整理成柱状图，发到企业微信群"），WorkBuddy 自主拆解任务、调用工具、执行、交付结果。从"AI顾问"变成了"AI牛马"，一旦体验过就回不去。</w:t>
      </w:r>
    </w:p>
    <w:p>
      <w:pPr>
        <w:pStyle w:val="Heading3"/>
      </w:pPr>
      <w:bookmarkStart w:name="toc-anchor-5" w:id="6"/>
      <w:r>
        <w:t xml:space="preserve">策略2：极低使用门槛——锁定非技术白领</w:t>
      </w:r>
      <w:bookmarkEnd w:id="6"/>
    </w:p>
    <w:p>
      <w:pPr>
        <w:pStyle w:val="ListParagraph"/>
        <w:numPr>
          <w:ilvl w:val="0"/>
          <w:numId w:val="2"/>
        </w:numPr>
      </w:pPr>
      <w:r>
        <w:t xml:space="preserve">砍掉复杂代码配置，支持单句口语化指令发起任务</w:t>
      </w:r>
    </w:p>
    <w:p>
      <w:pPr>
        <w:pStyle w:val="ListParagraph"/>
        <w:numPr>
          <w:ilvl w:val="0"/>
          <w:numId w:val="2"/>
        </w:numPr>
      </w:pPr>
      <w:r>
        <w:t xml:space="preserve">内测阶段就发现：HR、行政、运营等非技术员工是最活跃用户</w:t>
      </w:r>
    </w:p>
    <w:p>
      <w:pPr>
        <w:pStyle w:val="ListParagraph"/>
        <w:numPr>
          <w:ilvl w:val="0"/>
          <w:numId w:val="2"/>
        </w:numPr>
      </w:pPr>
      <w:r>
        <w:t xml:space="preserve">这批人群此前有强烈提效需求却苦无工具，WorkBuddy 填补了这个缝隙</w:t>
      </w:r>
    </w:p>
    <w:p>
      <w:pPr>
        <w:pStyle w:val="ListParagraph"/>
        <w:numPr>
          <w:ilvl w:val="0"/>
          <w:numId w:val="2"/>
        </w:numPr>
      </w:pPr>
      <w:r>
        <w:t xml:space="preserve">桌面端用户占比92%，核心场景死死锚定在 PC 办公桌面</w:t>
      </w:r>
    </w:p>
    <w:p>
      <w:pPr>
        <w:pStyle w:val="Heading3"/>
      </w:pPr>
      <w:bookmarkStart w:name="toc-anchor-6" w:id="7"/>
      <w:r>
        <w:t xml:space="preserve">策略3：腾讯生态饱和式赋能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具体做法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产品接入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原生接入腾讯文档、QQ邮箱、腾讯网盘、腾讯会议、企业微信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多模型聚合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内置13个模型（混元、GLM、MiniMax、Kimi、DeepSeek等），可灵活切换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组织资源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马化腾几乎不缺席产品会，六大事业群一路开绿灯，团队从十几人扩至百人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算力投入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Q2资本开支527.84亿元（同比+176%），主要流向混元模型升级和WorkBuddy推理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线下投放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仅北上广深四城线下投放费用接近1亿元</w:t>
            </w:r>
          </w:p>
        </w:tc>
      </w:tr>
    </w:tbl>
    <w:p>
      <w:pPr>
        <w:pStyle w:val="Heading3"/>
      </w:pPr>
      <w:bookmarkStart w:name="toc-anchor-7" w:id="8"/>
      <w:r>
        <w:t xml:space="preserve">策略4：积分体系驱动活跃与裂变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获取方式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积分收益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新用户注册礼包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2000-5000（一次性）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降低首次使用门槛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每日登录签到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每月基础额度（自动到账）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培养每日打开习惯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邀请好友注册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双方各得500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社交裂变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社区发文章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500-3000/篇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内容营销+用户深度参与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免费模型（Gemma 4）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不扣积分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轻量任务零成本运行</w:t>
            </w:r>
          </w:p>
        </w:tc>
      </w:tr>
    </w:tbl>
    <w:p>
      <w:pPr>
        <w:pStyle w:val="Heading3"/>
      </w:pPr>
      <w:bookmarkStart w:name="toc-anchor-8" w:id="9"/>
      <w:r>
        <w:t xml:space="preserve">策略5：Skill 生态构建平台效应</w:t>
      </w:r>
      <w:bookmarkEnd w:id="9"/>
    </w:p>
    <w:p>
      <w:pPr>
        <w:pStyle w:val="ListParagraph"/>
        <w:numPr>
          <w:ilvl w:val="0"/>
          <w:numId w:val="2"/>
        </w:numPr>
      </w:pPr>
      <w:r>
        <w:t xml:space="preserve">80,000+ 技能（Skills），支持 MCP 标准、自定义技能</w:t>
      </w:r>
    </w:p>
    <w:p>
      <w:pPr>
        <w:pStyle w:val="ListParagraph"/>
        <w:numPr>
          <w:ilvl w:val="0"/>
          <w:numId w:val="2"/>
        </w:numPr>
      </w:pPr>
      <w:r>
        <w:t xml:space="preserve">100+ 领域专家，支持自定义专家</w:t>
      </w:r>
    </w:p>
    <w:p>
      <w:pPr>
        <w:pStyle w:val="ListParagraph"/>
        <w:numPr>
          <w:ilvl w:val="0"/>
          <w:numId w:val="2"/>
        </w:numPr>
      </w:pPr>
      <w:r>
        <w:t xml:space="preserve">正在疯狂与各路 SaaS 厂商推"专家技能"，让厂商把能力封装成 Skill 插入平台</w:t>
      </w:r>
    </w:p>
    <w:p>
      <w:pPr>
        <w:pStyle w:val="ListParagraph"/>
        <w:numPr>
          <w:ilvl w:val="0"/>
          <w:numId w:val="2"/>
        </w:numPr>
      </w:pPr>
      <w:r>
        <w:t xml:space="preserve">战略意图：成为 AI 时代的"App Store"——所有第三方软件被降维成 WB 里的一个技能插件</w:t>
      </w:r>
    </w:p>
    <w:p>
      <w:pPr>
        <w:pStyle w:val="ListParagraph"/>
        <w:numPr>
          <w:ilvl w:val="0"/>
          <w:numId w:val="2"/>
        </w:numPr>
      </w:pPr>
      <w:r>
        <w:t xml:space="preserve">商业化极其克制（先"养地"再"收租"），优先积累高质量用户行为数据训练 Hy3 大模型</w:t>
      </w:r>
    </w:p>
    <w:p>
      <w:pPr>
        <w:pStyle w:val="Heading3"/>
      </w:pPr>
      <w:bookmarkStart w:name="toc-anchor-9" w:id="10"/>
      <w:r>
        <w:t xml:space="preserve">策略6：AI原生开发节奏+校园/企业双线拓展</w:t>
      </w:r>
      <w:bookmarkEnd w:id="10"/>
    </w:p>
    <w:p>
      <w:pPr>
        <w:pStyle w:val="ListParagraph"/>
        <w:numPr>
          <w:ilvl w:val="0"/>
          <w:numId w:val="2"/>
        </w:numPr>
      </w:pPr>
      <w:r>
        <w:t xml:space="preserve">AI原生开发："先让 AI 把东西做出来，围着能跑的原型看效果"，5个月迭代52个版本</w:t>
      </w:r>
    </w:p>
    <w:p>
      <w:pPr>
        <w:pStyle w:val="ListParagraph"/>
        <w:numPr>
          <w:ilvl w:val="0"/>
          <w:numId w:val="2"/>
        </w:numPr>
      </w:pPr>
      <w:r>
        <w:t xml:space="preserve">校园渗透：开学季师生免费领1000积分，百所高校校园开放日，"宝藏母校Skill大赛"吸引416所高校874名学生创作者</w:t>
      </w:r>
    </w:p>
    <w:p>
      <w:pPr>
        <w:pStyle w:val="ListParagraph"/>
        <w:numPr>
          <w:ilvl w:val="0"/>
          <w:numId w:val="2"/>
        </w:numPr>
      </w:pPr>
      <w:r>
        <w:t xml:space="preserve">企业版落地：2026年6月发布企业版，支持私有化部署、SSO单点登录，已服务数百家企业</w:t>
      </w:r>
    </w:p>
    <w:p>
      <w:r>
        <w:r>
          <w:br w:type="page"/>
        </w:r>
      </w:r>
    </w:p>
    <w:p>
      <w:pPr>
        <w:pStyle w:val="Heading2"/>
      </w:pPr>
      <w:bookmarkStart w:name="toc-anchor-10" w:id="11"/>
      <w:r>
        <w:t xml:space="preserve">五、3000多万用户如何分布</w:t>
      </w:r>
      <w:bookmarkEnd w:id="11"/>
    </w:p>
    <w:p>
      <w:pPr>
        <w:pStyle w:val="Heading3"/>
      </w:pPr>
      <w:bookmarkStart w:name="toc-anchor-11" w:id="12"/>
      <w:r>
        <w:t xml:space="preserve">5.1 按平台分布</w:t>
      </w:r>
      <w:bookmarkEnd w:id="1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占比/状态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桌面端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已支持，核心场景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macOS 桌面端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已支持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原生App + 微信小程序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原生App + 微信小程序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鸿蒙 HarmonyOS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已上线独立App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桌面端整体占比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92%（核心锚定PC办公）</w:t>
            </w:r>
          </w:p>
        </w:tc>
      </w:tr>
    </w:tbl>
    <w:p>
      <w:pPr>
        <w:pStyle w:val="Heading3"/>
      </w:pPr>
      <w:bookmarkStart w:name="toc-anchor-12" w:id="13"/>
      <w:r>
        <w:t xml:space="preserve">5.2 按用户类型分布</w:t>
      </w:r>
      <w:bookmarkEnd w:id="1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个人免费版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轻度办公用户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0元，每月500积分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个人标准版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中度使用者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70-99元/月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个人高级版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重度使用者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140-199元/月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个人旗舰版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专业用户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700-999元/月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企业SaaS版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中小企业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198元/人/月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企业专有云版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大型组织/金融/政务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316元/人/月（100坐席起）</w:t>
            </w:r>
          </w:p>
        </w:tc>
      </w:tr>
    </w:tbl>
    <w:p>
      <w:r>
        <w:t xml:space="preserve">关键比例：活跃用户留存率 &gt;60%，付费用户留存率 &gt;80%，人均 Token 消耗3个月内增长10倍（说明用户真的在用，不是尝鲜）。</w:t>
      </w:r>
    </w:p>
    <w:p>
      <w:pPr>
        <w:pStyle w:val="Heading3"/>
      </w:pPr>
      <w:bookmarkStart w:name="toc-anchor-13" w:id="14"/>
      <w:r>
        <w:t xml:space="preserve">5.3 按行业分布（企业版，已覆盖18个细分行业）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行业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制造业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19.3%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生产排程、质量报表、供应链汇总、设备运维知识库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IT/技术服务/ISV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17.5%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代码辅助、技术文档、Bug分析、接口测试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电商/跨境电商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商品描述批量生成、多语言翻译、竞品分析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医疗医药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医学文献摘要、临床报告整理、合规审查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文化传媒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选题策划、稿件初稿、多平台分发、热点追踪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金融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研报摘要、风控数据整理、合规审查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6合计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63.2%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其他12个行业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36.8%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政务、教育、物流等</w:t>
            </w:r>
          </w:p>
        </w:tc>
      </w:tr>
    </w:tbl>
    <w:p>
      <w:r>
        <w:t xml:space="preserve">核心洞察：制造业+IT合计约37%为基本盘，WorkBuddy 不是服务某一行业的工具，而是解决所有行业共同的办公效率问题。</w:t>
      </w:r>
    </w:p>
    <w:p>
      <w:pPr>
        <w:pStyle w:val="Heading3"/>
      </w:pPr>
      <w:bookmarkStart w:name="toc-anchor-14" w:id="15"/>
      <w:r>
        <w:t xml:space="preserve">5.4 按企业客户规模分布</w:t>
      </w:r>
      <w:bookmarkEnd w:id="1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代表客户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腾讯内部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2000+员工，8大部门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内测验证底座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头部金融机构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单客户5000+员工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中信证券、某股份制银行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大型制造企业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数百至数千人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蒙牛（45个数字员工）、晶科能源（200账号秒抢）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互联网/SaaS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全员使用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某SaaS独角兽（客服准确率68%→89%）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政务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多场景落地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广东"湾擎"WorkBuddy、深圳港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消费/零售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多部门使用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上海家化（67%用于垂直业务场景）</w:t>
            </w:r>
          </w:p>
        </w:tc>
      </w:tr>
    </w:tbl>
    <w:p>
      <w:r>
        <w:t xml:space="preserve">企业版终端覆盖员工总数：保守估算 10万-20万人，含腾讯内部2000+及外部数百家企业客户。</w:t>
      </w:r>
    </w:p>
    <w:p>
      <w:pPr>
        <w:pStyle w:val="Heading3"/>
      </w:pPr>
      <w:bookmarkStart w:name="toc-anchor-15" w:id="16"/>
      <w:r>
        <w:t xml:space="preserve">5.5 市场竞争分布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桌面端MAU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市场份额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WorkBuddy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1115万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约37%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百度搭子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674万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约22%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3+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字节Trae、阿里QoderWork等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合计约1200万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约40%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市场总量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约3000万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>按传统办公软件用户规模估算，AI 办公仍有约 20倍增长空间。</w:t>
      </w:r>
    </w:p>
    <w:p>
      <w:r>
        <w:r>
          <w:br w:type="page"/>
        </w:r>
      </w:r>
    </w:p>
    <w:p>
      <w:pPr>
        <w:pStyle w:val="Heading2"/>
      </w:pPr>
      <w:bookmarkStart w:name="toc-anchor-16" w:id="17"/>
      <w:r>
        <w:t xml:space="preserve">六、总结与展望</w:t>
      </w:r>
      <w:bookmarkEnd w:id="17"/>
    </w:p>
    <w:p>
      <w:r>
        <w:t xml:space="preserve">WorkBuddy 能在3个月内从0做到2000万MAU，核心是六股力量的叠加：</w:t>
      </w:r>
    </w:p>
    <w:p>
      <w:pPr>
        <w:pStyle w:val="ListParagraph"/>
        <w:numPr>
          <w:ilvl w:val="0"/>
          <w:numId w:val="2"/>
        </w:numPr>
      </w:pPr>
      <w:r>
        <w:t xml:space="preserve">产品力：从"聊天"到"干活"的质变，黏性从20%飙升至75%</w:t>
      </w:r>
    </w:p>
    <w:p>
      <w:pPr>
        <w:pStyle w:val="ListParagraph"/>
        <w:numPr>
          <w:ilvl w:val="0"/>
          <w:numId w:val="2"/>
        </w:numPr>
      </w:pPr>
      <w:r>
        <w:t xml:space="preserve">生态力：腾讯二十年积累的企业生态（文档/会议/邮箱/企微）提供现成"插座"</w:t>
      </w:r>
    </w:p>
    <w:p>
      <w:pPr>
        <w:pStyle w:val="ListParagraph"/>
        <w:numPr>
          <w:ilvl w:val="0"/>
          <w:numId w:val="2"/>
        </w:numPr>
      </w:pPr>
      <w:r>
        <w:t xml:space="preserve">资本力：百亿级算力投入+亿元级线下投放，饱和式轰炸</w:t>
      </w:r>
    </w:p>
    <w:p>
      <w:pPr>
        <w:pStyle w:val="ListParagraph"/>
        <w:numPr>
          <w:ilvl w:val="0"/>
          <w:numId w:val="2"/>
        </w:numPr>
      </w:pPr>
      <w:r>
        <w:t xml:space="preserve">裂变力：积分体系+邀请机制+社区内容营销驱动用户自传播</w:t>
      </w:r>
    </w:p>
    <w:p>
      <w:pPr>
        <w:pStyle w:val="ListParagraph"/>
        <w:numPr>
          <w:ilvl w:val="0"/>
          <w:numId w:val="2"/>
        </w:numPr>
      </w:pPr>
      <w:r>
        <w:t xml:space="preserve">平台力：8万+技能+100+专家构建 Skill 生态，走向 AI 时代 App Store</w:t>
      </w:r>
    </w:p>
    <w:p>
      <w:pPr>
        <w:pStyle w:val="ListParagraph"/>
        <w:numPr>
          <w:ilvl w:val="0"/>
          <w:numId w:val="2"/>
        </w:numPr>
      </w:pPr>
      <w:r>
        <w:t xml:space="preserve">组织力：马化腾亲自盯、六大事业群开绿灯、AI原生开发节奏（5个月52版）</w:t>
      </w:r>
    </w:p>
    <w:p>
      <w:r>
        <w:t xml:space="preserve">而3000多万的中国 AI 办公用户整体呈现：桌面端为主（92%）、非技术白领为主力、制造业和IT为基本盘（37%）、个人版引流+企业版变现的双层结构，市场仍处于高速扩容期，未来还有约20倍增长空间。</w:t>
      </w:r>
    </w:p>
    <w:p>
      <w:r>
        <w:t xml:space="preserve">WorkBuddy 的野心不止于做一个好用的 AI 办公软件——它正在编织的，是一张以 AI 智能体为入口、以 Skill 生态为连接器、覆盖个人到企业的产业互联网大网。下一个十年的商业规则，也许正在这个对话框里被重新改写。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hAnsi="Noto Sans SC" w:eastAsia="Noto Sans SC"/>
        <w:color w:val="555555"/>
        <w:sz w:val="20"/>
      </w:rPr>
      <w:t>AI生成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hAnsi="Noto Sans SC" w:eastAsia="Noto Sans SC"/>
        <w:color w:val="555555"/>
        <w:sz w:val="20"/>
      </w:rPr>
      <w:t>AI生成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hAnsi="Noto Sans SC" w:eastAsia="Noto Sans SC"/>
        <w:color w:val="555555"/>
        <w:sz w:val="20"/>
      </w:rPr>
      <w:t>AI生成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eastAsia="微软雅黑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300"/>
      <w:outlineLvl w:val="0"/>
    </w:pPr>
    <w:rPr>
      <w:b/>
      <w:bCs/>
      <w:color w:val="1F4E79"/>
      <w:sz w:val="56"/>
      <w:szCs w:val="56"/>
      <w:rFonts w:ascii="Calibri Light" w:eastAsia="微软雅黑" w:hAnsi="Calibri Light"/>
    </w:rPr>
  </w:style>
  <w:style w:type="paragraph" w:styleId="Heading2">
    <w:name w:val="Heading 2"/>
    <w:basedOn w:val="Normal"/>
    <w:next w:val="Normal"/>
    <w:qFormat/>
    <w:pPr>
      <w:spacing w:before="480" w:after="240"/>
      <w:outlineLvl w:val="1"/>
    </w:pPr>
    <w:rPr>
      <w:b/>
      <w:bCs/>
      <w:color w:val="1F4E79"/>
      <w:sz w:val="52"/>
      <w:szCs w:val="52"/>
      <w:rFonts w:ascii="Calibri Light" w:eastAsia="微软雅黑" w:hAnsi="Calibri Light"/>
    </w:rPr>
  </w:style>
  <w:style w:type="paragraph" w:styleId="Heading3">
    <w:name w:val="Heading 3"/>
    <w:basedOn w:val="Normal"/>
    <w:next w:val="Normal"/>
    <w:qFormat/>
    <w:pPr>
      <w:spacing w:before="360" w:after="180"/>
      <w:outlineLvl w:val="2"/>
    </w:pPr>
    <w:rPr>
      <w:b/>
      <w:bCs/>
      <w:color w:val="2E75B6"/>
      <w:sz w:val="40"/>
      <w:szCs w:val="40"/>
      <w:rFonts w:ascii="Calibri Light" w:eastAsia="微软雅黑" w:hAnsi="Calibri Light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b/>
      <w:bCs/>
      <w:sz w:val="26"/>
      <w:szCs w:val="26"/>
      <w:rFonts w:ascii="Calibri Light" w:eastAsia="微软雅黑" w:hAnsi="Calibri Light"/>
    </w:rPr>
  </w:style>
  <w:style w:type="paragraph" w:styleId="Heading5">
    <w:name w:val="Heading 5"/>
    <w:basedOn w:val="Normal"/>
    <w:next w:val="Normal"/>
    <w:qFormat/>
    <w:pPr>
      <w:spacing w:before="160" w:after="80"/>
      <w:outlineLvl w:val="4"/>
    </w:pPr>
    <w:rPr>
      <w:b/>
      <w:bCs/>
      <w:color w:val="2E75B6"/>
      <w:sz w:val="24"/>
      <w:szCs w:val="24"/>
      <w:rFonts w:ascii="Calibri Light" w:eastAsia="微软雅黑" w:hAnsi="Calibri Light"/>
    </w:rPr>
  </w:style>
  <w:style w:type="paragraph" w:styleId="Heading6">
    <w:name w:val="Heading 6"/>
    <w:basedOn w:val="Normal"/>
    <w:next w:val="Normal"/>
    <w:qFormat/>
    <w:pPr>
      <w:spacing w:before="160" w:after="80"/>
      <w:outlineLvl w:val="5"/>
    </w:pPr>
    <w:rPr>
      <w:b/>
      <w:bCs/>
      <w:i/>
      <w:iCs/>
      <w:color w:val="2E75B6"/>
      <w:sz w:val="22"/>
      <w:szCs w:val="22"/>
      <w:rFonts w:ascii="Calibri Light" w:eastAsia="微软雅黑" w:hAnsi="Calibri Light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b/>
      <w:bCs/>
      <w:sz w:val="56"/>
      <w:szCs w:val="56"/>
      <w:rFonts w:ascii="Calibri Light" w:eastAsia="微软雅黑" w:hAnsi="Calibri Light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color w:val="666666"/>
      <w:sz w:val="26"/>
      <w:szCs w:val="26"/>
      <w:rFonts w:ascii="Calibri" w:cs="Calibri" w:eastAsia="Calibri" w:hAnsi="Calibri"/>
    </w:rPr>
  </w:style>
  <w:style w:type="paragraph" w:styleId="TOC1">
    <w:name w:val="toc 1"/>
    <w:basedOn w:val="Normal"/>
    <w:next w:val="Normal"/>
    <w:qFormat/>
    <w:pPr>
      <w:spacing w:before="120" w:after="120"/>
      <w:ind w:left="0"/>
    </w:pPr>
    <w:rPr>
      <w:b/>
      <w:bCs/>
      <w:sz w:val="22"/>
      <w:szCs w:val="22"/>
      <w:rFonts w:ascii="Calibri" w:cs="Calibri" w:eastAsia="Calibri" w:hAnsi="Calibri"/>
    </w:rPr>
  </w:style>
  <w:style w:type="paragraph" w:styleId="TOC2">
    <w:name w:val="toc 2"/>
    <w:basedOn w:val="Normal"/>
    <w:next w:val="Normal"/>
    <w:qFormat/>
    <w:pPr>
      <w:spacing w:before="120" w:after="120"/>
      <w:ind w:left="240"/>
    </w:pPr>
    <w:rPr>
      <w:sz w:val="22"/>
      <w:szCs w:val="22"/>
      <w:rFonts w:ascii="Calibri" w:cs="Calibri" w:eastAsia="Calibri" w:hAnsi="Calibri"/>
    </w:rPr>
  </w:style>
  <w:style w:type="paragraph" w:styleId="TOC3">
    <w:name w:val="toc 3"/>
    <w:basedOn w:val="Normal"/>
    <w:next w:val="Normal"/>
    <w:qFormat/>
    <w:pPr>
      <w:spacing w:before="120" w:after="120"/>
      <w:ind w:left="480"/>
    </w:pPr>
    <w:rPr>
      <w:sz w:val="22"/>
      <w:szCs w:val="22"/>
      <w:rFonts w:ascii="Calibri" w:cs="Calibri" w:eastAsia="Calibri" w:hAnsi="Calibri"/>
    </w:rPr>
  </w:style>
  <w:style w:type="paragraph" w:styleId="Quote">
    <w:name w:val="Quote"/>
    <w:basedOn w:val="Normal"/>
    <w:next w:val="Normal"/>
    <w:qFormat/>
    <w:pPr>
      <w:spacing w:before="240" w:after="240"/>
      <w:ind w:left="720" w:right="720" w:firstLine="0"/>
    </w:pPr>
    <w:rPr>
      <w:i/>
      <w:iCs/>
      <w:color w:val="404040"/>
      <w:sz w:val="22"/>
      <w:szCs w:val="22"/>
      <w:rFonts w:ascii="Calibri" w:cs="Calibri" w:eastAsia="Calibri" w:hAnsi="Calibri"/>
    </w:rPr>
  </w:style>
  <w:style w:type="paragraph" w:styleId="IntenseQuote">
    <w:name w:val="Intense Quote"/>
    <w:basedOn w:val="Quote"/>
    <w:next w:val="Normal"/>
    <w:qFormat/>
    <w:pPr>
      <w:pBdr>
        <w:left w:val="single" w:color="1F4E79" w:sz="18" w:space="12"/>
      </w:pBdr>
      <w:spacing w:before="240" w:after="240"/>
      <w:ind w:left="720" w:right="720" w:firstLine="0"/>
    </w:pPr>
    <w:rPr>
      <w:b/>
      <w:bCs/>
      <w:i/>
      <w:iCs/>
      <w:color w:val="1F4E79"/>
      <w:sz w:val="22"/>
      <w:szCs w:val="22"/>
      <w:rFonts w:ascii="Calibri" w:cs="Calibri" w:eastAsia="Calibri" w:hAnsi="Calibri"/>
    </w:rPr>
  </w:style>
  <w:style w:type="paragraph" w:styleId="CommentText">
    <w:name w:val="Comment Text"/>
    <w:basedOn w:val="Normal"/>
    <w:next w:val="Normal"/>
    <w:rPr>
      <w:sz w:val="20"/>
      <w:szCs w:val="20"/>
      <w:rFonts w:ascii="Calibri" w:cs="Calibri" w:eastAsia="Calibri" w:hAnsi="Calibri"/>
    </w:rPr>
  </w:style>
  <w:style w:type="paragraph" w:styleId="CommentReference">
    <w:name w:val="Comment Reference"/>
    <w:basedOn w:val="Normal"/>
    <w:next w:val="Normal"/>
    <w:rPr>
      <w:sz w:val="16"/>
      <w:szCs w:val="16"/>
      <w:rFonts w:ascii="Calibri" w:cs="Calibri" w:eastAsia="Calibri" w:hAnsi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WorkBuddy用户增长策略与用户分布深度分析报告</dc:title>
  <dc:creator>AI深度研究</dc:creator>
  <cp:lastModifiedBy>Un-named</cp:lastModifiedBy>
  <cp:revision>1</cp:revision>
  <dcterms:created xsi:type="dcterms:W3CDTF">2026-09-01T01:46:10.393Z</dcterms:created>
  <dcterms:modified xsi:type="dcterms:W3CDTF">2026-09-01T01:46:10.393Z</dcterms:modified>
  <cp:keywords>AI生成</cp:keywords>
  <dc:description>AI生成</dc:description>
  <dc:subject>AI生成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