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62EE5" w14:textId="77777777" w:rsidR="005C0C8A" w:rsidRDefault="005C0C8A">
      <w:pPr>
        <w:bidi/>
        <w:spacing w:before="360" w:after="180"/>
        <w:jc w:val="center"/>
      </w:pPr>
    </w:p>
    <w:p w14:paraId="2351CCCD" w14:textId="77777777" w:rsidR="005C0C8A" w:rsidRDefault="00000000">
      <w:pPr>
        <w:bidi/>
        <w:spacing w:before="0" w:after="200"/>
        <w:jc w:val="center"/>
      </w:pPr>
      <w:r>
        <w:rPr>
          <w:noProof/>
        </w:rPr>
        <w:drawing>
          <wp:inline distT="0" distB="0" distL="0" distR="0" wp14:anchorId="6F31BE4B" wp14:editId="625E350F">
            <wp:extent cx="1908000" cy="943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spu_logo_med.jpg"/>
                    <pic:cNvPicPr/>
                  </pic:nvPicPr>
                  <pic:blipFill>
                    <a:blip r:embed="rId8"/>
                    <a:stretch>
                      <a:fillRect/>
                    </a:stretch>
                  </pic:blipFill>
                  <pic:spPr>
                    <a:xfrm>
                      <a:off x="0" y="0"/>
                      <a:ext cx="1908000" cy="943439"/>
                    </a:xfrm>
                    <a:prstGeom prst="rect">
                      <a:avLst/>
                    </a:prstGeom>
                  </pic:spPr>
                </pic:pic>
              </a:graphicData>
            </a:graphic>
          </wp:inline>
        </w:drawing>
      </w:r>
    </w:p>
    <w:p w14:paraId="142AA480" w14:textId="77777777" w:rsidR="005C0C8A" w:rsidRDefault="00000000">
      <w:pPr>
        <w:bidi/>
        <w:spacing w:before="0" w:after="80"/>
        <w:jc w:val="center"/>
      </w:pPr>
      <w:r>
        <w:rPr>
          <w:rFonts w:ascii="Times New Roman" w:hAnsi="Times New Roman"/>
          <w:b/>
          <w:color w:val="000000"/>
        </w:rPr>
        <w:t>كلية هندسة الذكاء الاصطناعي</w:t>
      </w:r>
    </w:p>
    <w:p w14:paraId="42F575AD" w14:textId="77777777" w:rsidR="005C0C8A" w:rsidRDefault="00000000">
      <w:pPr>
        <w:bidi/>
        <w:spacing w:before="0"/>
        <w:jc w:val="center"/>
      </w:pPr>
      <w:r>
        <w:rPr>
          <w:rFonts w:ascii="Times New Roman" w:hAnsi="Times New Roman"/>
          <w:color w:val="000000"/>
          <w:sz w:val="26"/>
        </w:rPr>
        <w:t>قسم هندسة البرمجيات ونظم المعلومات الذكية</w:t>
      </w:r>
    </w:p>
    <w:p w14:paraId="5DB04A02" w14:textId="77777777" w:rsidR="005C0C8A" w:rsidRDefault="005C0C8A">
      <w:pPr>
        <w:pBdr>
          <w:bottom w:val="single" w:sz="25" w:space="2" w:color="1A68D1"/>
        </w:pBdr>
        <w:bidi/>
        <w:spacing w:before="0" w:after="340"/>
        <w:jc w:val="center"/>
      </w:pPr>
    </w:p>
    <w:p w14:paraId="4F14189A" w14:textId="77777777" w:rsidR="005C0C8A" w:rsidRDefault="00000000">
      <w:pPr>
        <w:bidi/>
        <w:spacing w:before="480" w:after="300"/>
        <w:jc w:val="center"/>
      </w:pPr>
      <w:r>
        <w:rPr>
          <w:rFonts w:ascii="Times New Roman" w:hAnsi="Times New Roman"/>
          <w:b/>
          <w:color w:val="000000"/>
          <w:sz w:val="34"/>
        </w:rPr>
        <w:t>الجزء الأول من تقرير مشروع التخرج</w:t>
      </w:r>
    </w:p>
    <w:p w14:paraId="510098AC" w14:textId="77777777" w:rsidR="005C0C8A" w:rsidRDefault="00000000">
      <w:pPr>
        <w:bidi/>
        <w:spacing w:before="0" w:after="260"/>
        <w:jc w:val="center"/>
      </w:pPr>
      <w:r>
        <w:rPr>
          <w:rFonts w:ascii="Times New Roman" w:hAnsi="Times New Roman"/>
          <w:b/>
          <w:color w:val="000000"/>
          <w:sz w:val="48"/>
        </w:rPr>
        <w:t>منصة إدارة الأدوية والصيدليات</w:t>
      </w:r>
    </w:p>
    <w:p w14:paraId="1EEDD853" w14:textId="77777777" w:rsidR="005C0C8A" w:rsidRDefault="00000000">
      <w:pPr>
        <w:bidi/>
        <w:spacing w:before="0" w:after="280"/>
        <w:jc w:val="center"/>
      </w:pPr>
      <w:r>
        <w:rPr>
          <w:rFonts w:ascii="Times New Roman" w:hAnsi="Times New Roman"/>
          <w:color w:val="000000"/>
          <w:sz w:val="26"/>
        </w:rPr>
        <w:t>Medication and Pharmacy Management Platform</w:t>
      </w:r>
    </w:p>
    <w:p w14:paraId="2590B9D3" w14:textId="77777777" w:rsidR="005C0C8A" w:rsidRDefault="005C0C8A">
      <w:pPr>
        <w:pBdr>
          <w:bottom w:val="single" w:sz="10" w:space="2" w:color="1592AD"/>
        </w:pBdr>
        <w:bidi/>
        <w:spacing w:before="0" w:after="100"/>
        <w:jc w:val="center"/>
      </w:pPr>
    </w:p>
    <w:p w14:paraId="3C35AD0B" w14:textId="77777777" w:rsidR="005C0C8A" w:rsidRDefault="00000000">
      <w:pPr>
        <w:bidi/>
        <w:spacing w:before="240" w:after="500"/>
        <w:jc w:val="center"/>
      </w:pPr>
      <w:r>
        <w:rPr>
          <w:rFonts w:ascii="Times New Roman" w:hAnsi="Times New Roman"/>
          <w:color w:val="000000"/>
          <w:sz w:val="24"/>
        </w:rPr>
        <w:t>مشكلة المشروع وأهدافه · الدراسات السابقة · فكرة الحل · الدراسة النظرية</w:t>
      </w:r>
    </w:p>
    <w:p w14:paraId="723C4D38" w14:textId="77777777" w:rsidR="00981D22" w:rsidRPr="00981D22" w:rsidRDefault="00000000">
      <w:pPr>
        <w:bidi/>
        <w:spacing w:before="0" w:after="240"/>
        <w:jc w:val="center"/>
        <w:rPr>
          <w:rFonts w:ascii="Times New Roman" w:hAnsi="Times New Roman"/>
          <w:color w:val="000000"/>
          <w:szCs w:val="28"/>
          <w:rtl/>
        </w:rPr>
      </w:pPr>
      <w:proofErr w:type="spellStart"/>
      <w:r w:rsidRPr="00981D22">
        <w:rPr>
          <w:rFonts w:ascii="Times New Roman" w:hAnsi="Times New Roman"/>
          <w:color w:val="000000"/>
          <w:szCs w:val="28"/>
        </w:rPr>
        <w:t>إعداد</w:t>
      </w:r>
      <w:proofErr w:type="spellEnd"/>
      <w:r w:rsidRPr="00981D22">
        <w:rPr>
          <w:rFonts w:ascii="Times New Roman" w:hAnsi="Times New Roman"/>
          <w:color w:val="000000"/>
          <w:szCs w:val="28"/>
        </w:rPr>
        <w:t xml:space="preserve"> </w:t>
      </w:r>
      <w:proofErr w:type="spellStart"/>
      <w:r w:rsidRPr="00981D22">
        <w:rPr>
          <w:rFonts w:ascii="Times New Roman" w:hAnsi="Times New Roman"/>
          <w:color w:val="000000"/>
          <w:szCs w:val="28"/>
        </w:rPr>
        <w:t>الطالب</w:t>
      </w:r>
      <w:proofErr w:type="spellEnd"/>
      <w:r w:rsidR="00981D22" w:rsidRPr="00981D22">
        <w:rPr>
          <w:rFonts w:ascii="Times New Roman" w:hAnsi="Times New Roman" w:hint="cs"/>
          <w:color w:val="000000"/>
          <w:szCs w:val="28"/>
          <w:rtl/>
        </w:rPr>
        <w:t xml:space="preserve"> عبدالكريم سلايمة </w:t>
      </w:r>
    </w:p>
    <w:p w14:paraId="0E6B4F77" w14:textId="77777777" w:rsidR="00981D22" w:rsidRPr="00981D22" w:rsidRDefault="00981D22" w:rsidP="00981D22">
      <w:pPr>
        <w:bidi/>
        <w:spacing w:before="0" w:after="240"/>
        <w:jc w:val="center"/>
        <w:rPr>
          <w:rFonts w:ascii="Times New Roman" w:hAnsi="Times New Roman"/>
          <w:color w:val="000000"/>
          <w:szCs w:val="28"/>
          <w:rtl/>
        </w:rPr>
      </w:pPr>
      <w:r w:rsidRPr="00981D22">
        <w:rPr>
          <w:rFonts w:ascii="Times New Roman" w:hAnsi="Times New Roman" w:hint="cs"/>
          <w:color w:val="000000"/>
          <w:szCs w:val="28"/>
          <w:rtl/>
        </w:rPr>
        <w:t>محمد السعيد</w:t>
      </w:r>
    </w:p>
    <w:p w14:paraId="45D42DEB" w14:textId="77777777" w:rsidR="005C0C8A" w:rsidRPr="00981D22" w:rsidRDefault="00981D22" w:rsidP="00981D22">
      <w:pPr>
        <w:bidi/>
        <w:spacing w:before="0" w:after="240"/>
        <w:jc w:val="center"/>
        <w:rPr>
          <w:szCs w:val="28"/>
        </w:rPr>
      </w:pPr>
      <w:r w:rsidRPr="00981D22">
        <w:rPr>
          <w:rFonts w:ascii="Times New Roman" w:hAnsi="Times New Roman" w:hint="cs"/>
          <w:color w:val="000000"/>
          <w:szCs w:val="28"/>
          <w:rtl/>
        </w:rPr>
        <w:t>علي لعبيد</w:t>
      </w:r>
    </w:p>
    <w:p w14:paraId="77F27838" w14:textId="77777777" w:rsidR="005C0C8A" w:rsidRPr="00981D22" w:rsidRDefault="00981D22">
      <w:pPr>
        <w:bidi/>
        <w:spacing w:before="0" w:after="240"/>
        <w:jc w:val="center"/>
        <w:rPr>
          <w:rFonts w:ascii="Times New Roman" w:hAnsi="Times New Roman"/>
          <w:color w:val="000000"/>
          <w:szCs w:val="28"/>
          <w:rtl/>
        </w:rPr>
      </w:pPr>
      <w:r w:rsidRPr="00981D22">
        <w:rPr>
          <w:rFonts w:ascii="Times New Roman" w:hAnsi="Times New Roman" w:hint="cs"/>
          <w:color w:val="000000"/>
          <w:szCs w:val="28"/>
          <w:rtl/>
        </w:rPr>
        <w:t xml:space="preserve">اشراف : </w:t>
      </w:r>
      <w:proofErr w:type="spellStart"/>
      <w:r w:rsidRPr="00981D22">
        <w:rPr>
          <w:rFonts w:ascii="Times New Roman" w:hAnsi="Times New Roman" w:hint="cs"/>
          <w:color w:val="000000"/>
          <w:szCs w:val="28"/>
          <w:rtl/>
        </w:rPr>
        <w:t>د.كادان</w:t>
      </w:r>
      <w:proofErr w:type="spellEnd"/>
      <w:r w:rsidRPr="00981D22">
        <w:rPr>
          <w:rFonts w:ascii="Times New Roman" w:hAnsi="Times New Roman" w:hint="cs"/>
          <w:color w:val="000000"/>
          <w:szCs w:val="28"/>
          <w:rtl/>
        </w:rPr>
        <w:t xml:space="preserve"> جمعة </w:t>
      </w:r>
    </w:p>
    <w:p w14:paraId="2BFAF31B" w14:textId="77777777" w:rsidR="00981D22" w:rsidRPr="00981D22" w:rsidRDefault="00981D22" w:rsidP="00981D22">
      <w:pPr>
        <w:bidi/>
        <w:spacing w:before="0" w:after="240"/>
        <w:jc w:val="center"/>
        <w:rPr>
          <w:szCs w:val="28"/>
        </w:rPr>
      </w:pPr>
      <w:proofErr w:type="spellStart"/>
      <w:r w:rsidRPr="00981D22">
        <w:rPr>
          <w:rFonts w:ascii="Times New Roman" w:hAnsi="Times New Roman" w:hint="cs"/>
          <w:color w:val="000000"/>
          <w:szCs w:val="28"/>
          <w:rtl/>
        </w:rPr>
        <w:t>م.خزامى</w:t>
      </w:r>
      <w:proofErr w:type="spellEnd"/>
      <w:r w:rsidRPr="00981D22">
        <w:rPr>
          <w:rFonts w:ascii="Times New Roman" w:hAnsi="Times New Roman" w:hint="cs"/>
          <w:color w:val="000000"/>
          <w:szCs w:val="28"/>
          <w:rtl/>
        </w:rPr>
        <w:t xml:space="preserve"> اليوسف</w:t>
      </w:r>
    </w:p>
    <w:p w14:paraId="3B7B20B4" w14:textId="77777777" w:rsidR="005C0C8A" w:rsidRDefault="00000000">
      <w:r>
        <w:br w:type="page"/>
      </w:r>
    </w:p>
    <w:p w14:paraId="7DA27BC5" w14:textId="77777777" w:rsidR="005C0C8A" w:rsidRDefault="00000000">
      <w:pPr>
        <w:pStyle w:val="1"/>
        <w:pBdr>
          <w:bottom w:val="single" w:sz="15" w:space="9" w:color="1A68D1"/>
        </w:pBdr>
        <w:bidi/>
        <w:spacing w:before="360"/>
        <w:jc w:val="right"/>
      </w:pPr>
      <w:r>
        <w:rPr>
          <w:rFonts w:ascii="Times New Roman" w:eastAsia="Simplified Arabic" w:hAnsi="Times New Roman" w:cs="Simplified Arabic"/>
          <w:color w:val="171E25"/>
        </w:rPr>
        <w:lastRenderedPageBreak/>
        <w:t>محتويات الجزء الأول وفق إعلان السيمنار</w:t>
      </w:r>
    </w:p>
    <w:p w14:paraId="5D73215C" w14:textId="77777777" w:rsidR="005C0C8A" w:rsidRDefault="00000000">
      <w:pPr>
        <w:pBdr>
          <w:right w:val="single" w:sz="16" w:space="12" w:color="1A68D1"/>
        </w:pBdr>
        <w:shd w:val="clear" w:color="auto" w:fill="F4F8FD"/>
        <w:bidi/>
        <w:spacing w:before="120" w:after="120"/>
        <w:ind w:right="170"/>
        <w:jc w:val="right"/>
      </w:pPr>
      <w:r>
        <w:rPr>
          <w:rFonts w:ascii="Times New Roman" w:hAnsi="Times New Roman"/>
          <w:b/>
        </w:rPr>
        <w:t>• أولاً: المشكلة العلمية والهدف من المشروع</w:t>
      </w:r>
    </w:p>
    <w:p w14:paraId="24D3BCBC" w14:textId="77777777" w:rsidR="005C0C8A" w:rsidRDefault="00000000">
      <w:pPr>
        <w:pBdr>
          <w:right w:val="single" w:sz="16" w:space="12" w:color="1A68D1"/>
        </w:pBdr>
        <w:shd w:val="clear" w:color="auto" w:fill="F4F8FD"/>
        <w:bidi/>
        <w:spacing w:before="120" w:after="120"/>
        <w:ind w:right="170"/>
        <w:jc w:val="right"/>
      </w:pPr>
      <w:r>
        <w:rPr>
          <w:rFonts w:ascii="Times New Roman" w:hAnsi="Times New Roman"/>
          <w:b/>
        </w:rPr>
        <w:t>• ثانياً: الدراسات السابقة والحلول القائمة (State of the Art)</w:t>
      </w:r>
    </w:p>
    <w:p w14:paraId="69FC4ADE" w14:textId="77777777" w:rsidR="005C0C8A" w:rsidRDefault="00000000">
      <w:pPr>
        <w:pBdr>
          <w:right w:val="single" w:sz="16" w:space="12" w:color="1A68D1"/>
        </w:pBdr>
        <w:shd w:val="clear" w:color="auto" w:fill="F4F8FD"/>
        <w:bidi/>
        <w:spacing w:before="120" w:after="120"/>
        <w:ind w:right="170"/>
        <w:jc w:val="right"/>
      </w:pPr>
      <w:r>
        <w:rPr>
          <w:rFonts w:ascii="Times New Roman" w:hAnsi="Times New Roman"/>
          <w:b/>
        </w:rPr>
        <w:t>• ثالثاً: فكرة الحل المقترح مع مخطط سير العمل (Flowchart)</w:t>
      </w:r>
    </w:p>
    <w:p w14:paraId="0ED106EF" w14:textId="77777777" w:rsidR="005C0C8A" w:rsidRDefault="00000000">
      <w:pPr>
        <w:pBdr>
          <w:right w:val="single" w:sz="16" w:space="12" w:color="1A68D1"/>
        </w:pBdr>
        <w:shd w:val="clear" w:color="auto" w:fill="F4F8FD"/>
        <w:bidi/>
        <w:spacing w:before="120" w:after="120"/>
        <w:ind w:right="170"/>
        <w:jc w:val="right"/>
      </w:pPr>
      <w:r>
        <w:rPr>
          <w:rFonts w:ascii="Times New Roman" w:hAnsi="Times New Roman"/>
          <w:b/>
        </w:rPr>
        <w:t>• رابعاً: الفصل الأول - الدراسة النظرية</w:t>
      </w:r>
    </w:p>
    <w:p w14:paraId="0403C1F7" w14:textId="77777777" w:rsidR="005C0C8A" w:rsidRDefault="00000000">
      <w:pPr>
        <w:pBdr>
          <w:right w:val="single" w:sz="16" w:space="12" w:color="1A68D1"/>
        </w:pBdr>
        <w:shd w:val="clear" w:color="auto" w:fill="F4F8FD"/>
        <w:bidi/>
        <w:spacing w:before="120" w:after="120"/>
        <w:ind w:right="170"/>
        <w:jc w:val="right"/>
      </w:pPr>
      <w:r>
        <w:rPr>
          <w:rFonts w:ascii="Times New Roman" w:hAnsi="Times New Roman"/>
          <w:b/>
        </w:rPr>
        <w:t>• قائمة المراجع العلمية</w:t>
      </w:r>
    </w:p>
    <w:p w14:paraId="1F34CA9E" w14:textId="77777777" w:rsidR="005C0C8A" w:rsidRDefault="00000000">
      <w:pPr>
        <w:shd w:val="clear" w:color="auto" w:fill="F5F8FC"/>
        <w:bidi/>
        <w:spacing w:before="200" w:after="120"/>
        <w:jc w:val="both"/>
      </w:pPr>
      <w:r>
        <w:rPr>
          <w:rFonts w:ascii="Times New Roman" w:hAnsi="Times New Roman"/>
          <w:sz w:val="24"/>
        </w:rPr>
        <w:t>ملاحظة تنظيمية: اقتصر هذا الجزء على البنود المحددة في إعلان السيمنار. توزيع الدراسة النظرية في التقرير النهائي يخضع لاعتماد المشرف وفق دليل الجامعة.</w:t>
      </w:r>
    </w:p>
    <w:p w14:paraId="474DD77B" w14:textId="77777777" w:rsidR="005C0C8A" w:rsidRDefault="00000000">
      <w:pPr>
        <w:pStyle w:val="1"/>
        <w:pageBreakBefore/>
        <w:pBdr>
          <w:bottom w:val="single" w:sz="14" w:space="7" w:color="1A68D1"/>
        </w:pBdr>
        <w:bidi/>
        <w:spacing w:after="160"/>
        <w:jc w:val="right"/>
      </w:pPr>
      <w:r>
        <w:rPr>
          <w:rFonts w:ascii="Times New Roman" w:eastAsia="Simplified Arabic" w:hAnsi="Times New Roman" w:cs="Simplified Arabic"/>
        </w:rPr>
        <w:lastRenderedPageBreak/>
        <w:t>أولاً: المشكلة العلمية والهدف من المشروع</w:t>
      </w:r>
    </w:p>
    <w:p w14:paraId="1050597C" w14:textId="77777777" w:rsidR="005C0C8A" w:rsidRDefault="00000000">
      <w:pPr>
        <w:pStyle w:val="21"/>
        <w:bidi/>
        <w:jc w:val="right"/>
      </w:pPr>
      <w:r>
        <w:rPr>
          <w:rFonts w:ascii="Times New Roman" w:eastAsia="Simplified Arabic" w:hAnsi="Times New Roman" w:cs="Simplified Arabic"/>
        </w:rPr>
        <w:t>1. الخلفية العامة للمشروع</w:t>
      </w:r>
    </w:p>
    <w:p w14:paraId="7585AEAE" w14:textId="77777777" w:rsidR="005C0C8A" w:rsidRDefault="00000000">
      <w:pPr>
        <w:bidi/>
        <w:spacing w:after="120"/>
        <w:jc w:val="both"/>
      </w:pPr>
      <w:r>
        <w:rPr>
          <w:rFonts w:ascii="Times New Roman" w:hAnsi="Times New Roman"/>
          <w:color w:val="000000"/>
        </w:rPr>
        <w:t>أصبحت الخدمات الرقمية وسيلة رئيسية لتحسين الوصول إلى المعلومات الدوائية وتنظيم العلاقة بين المريض والصيدلية. لكن الحصول على الدواء قد يتطلب سؤال صيدليات متعددة لمعرفة التوفر والسعر، وقد يصعب على المريض متابعة مرحلة الطلب ثم الانتقال إلى تنظيم الجرعات بعد صرف الدواء. تنطلق فكرة هذا المشروع من ربط هذه المراحل في منصة ويب واحدة تخدم المريض والصيدلية ومدير النظام ضمن بيئة مهيأة للسوق السورية.</w:t>
      </w:r>
    </w:p>
    <w:p w14:paraId="248B31BD" w14:textId="77777777" w:rsidR="005C0C8A" w:rsidRDefault="00000000">
      <w:pPr>
        <w:bidi/>
        <w:spacing w:after="120"/>
        <w:jc w:val="both"/>
      </w:pPr>
      <w:r>
        <w:rPr>
          <w:rFonts w:ascii="Times New Roman" w:hAnsi="Times New Roman"/>
          <w:color w:val="000000"/>
        </w:rPr>
        <w:t>استناداً إلى الإصدار المقدم من الشيفرة، تتكون المنصة من واجهة عربية من اليمين إلى اليسار، وست خدمات خلفية مستقلة تُنفَّذ بلغة Python باستخدام Flask، وقواعد بيانات MySQL منفصلة. وتمكّن المريض من البحث عن الأدوية والصيدليات وتقديم الطلبات، بينما تتولى الصيدلية مراجعة الطلب والصرف والمخزون، وتتولى خدمات أخرى إدارة حسابات المستخدمين والكتالوج والسجل الدوائي والإشعارات.</w:t>
      </w:r>
    </w:p>
    <w:p w14:paraId="0AFFE220" w14:textId="77777777" w:rsidR="005C0C8A" w:rsidRDefault="00000000">
      <w:pPr>
        <w:pStyle w:val="21"/>
        <w:bidi/>
        <w:jc w:val="right"/>
      </w:pPr>
      <w:r>
        <w:rPr>
          <w:rFonts w:ascii="Times New Roman" w:eastAsia="Simplified Arabic" w:hAnsi="Times New Roman" w:cs="Simplified Arabic"/>
        </w:rPr>
        <w:t>2. صياغة المشكلة العلمية (Problem Statement)</w:t>
      </w:r>
    </w:p>
    <w:p w14:paraId="15929D86" w14:textId="77777777" w:rsidR="005C0C8A" w:rsidRDefault="00000000">
      <w:pPr>
        <w:bidi/>
        <w:spacing w:after="120"/>
        <w:jc w:val="both"/>
      </w:pPr>
      <w:r>
        <w:rPr>
          <w:rFonts w:ascii="Times New Roman" w:hAnsi="Times New Roman"/>
          <w:color w:val="000000"/>
        </w:rPr>
        <w:t>تكمن المشكلة في تشتّت المعلومات والإجراءات المتعلقة بالحصول على الدواء ومتابعته؛ إذ يحتاج المريض إلى معرفة ما إذا كان الدواء متوافراً في صيدلية قريبة، وسعره، وإمكانية وجود بديل مطابق في التركيبة، ثم التنسيق مع الصيدلية بخصوص طلبه، وبعد الحصول عليه تنظيم جدول الجرعات والتذكير به. وفي المقابل تحتاج الصيدلية إلى إدارة مخزونها وحالة الطلبات بطريقة تقلل التعارض بين الكمية المعروضة والكمية المصروفة. يؤدي غياب الربط البرمجي بين هذه الخطوات إلى زيادة الجهد اليدوي وصعوبة تتبع حالة الطلب والمخزون والجرعات في سياق موحد.</w:t>
      </w:r>
    </w:p>
    <w:p w14:paraId="34B1E47D" w14:textId="77777777" w:rsidR="005C0C8A" w:rsidRDefault="00000000">
      <w:pPr>
        <w:bidi/>
        <w:spacing w:after="120"/>
        <w:jc w:val="both"/>
      </w:pPr>
      <w:r>
        <w:rPr>
          <w:rFonts w:ascii="Times New Roman" w:hAnsi="Times New Roman"/>
          <w:color w:val="000000"/>
        </w:rPr>
        <w:t>السؤال الهندسي الذي يعالجه المشروع هو: كيف يمكن تصميم وتنفيذ منصة ويب متعددة الأدوار تحقق تكامل البحث عن الدواء وطلبه وصرفه ومتابعة جرعاته، مع عزل بيانات الجهات المختلفة وتنسيق التحديثات بين خدمات وقواعد بيانات مستقلة؟</w:t>
      </w:r>
    </w:p>
    <w:p w14:paraId="27975BD7" w14:textId="77777777" w:rsidR="005C0C8A" w:rsidRDefault="00000000">
      <w:pPr>
        <w:pStyle w:val="21"/>
        <w:bidi/>
        <w:jc w:val="right"/>
      </w:pPr>
      <w:r>
        <w:rPr>
          <w:rFonts w:ascii="Times New Roman" w:eastAsia="Simplified Arabic" w:hAnsi="Times New Roman" w:cs="Simplified Arabic"/>
        </w:rPr>
        <w:t>3. أهمية المشروع</w:t>
      </w:r>
    </w:p>
    <w:p w14:paraId="74AB0511" w14:textId="77777777" w:rsidR="005C0C8A" w:rsidRDefault="00000000">
      <w:pPr>
        <w:bidi/>
        <w:spacing w:after="80"/>
        <w:ind w:left="283" w:right="255"/>
        <w:jc w:val="both"/>
      </w:pPr>
      <w:r>
        <w:rPr>
          <w:rFonts w:ascii="Times New Roman" w:hAnsi="Times New Roman"/>
          <w:color w:val="000000"/>
        </w:rPr>
        <w:t>• للمريض: تسهيل الاستعلام عن الدواء والصيدليات القريبة، وعرض البدائل وفق معايير تركيب محددة، ومتابعة حالة الطلب وجدول الجرعات.</w:t>
      </w:r>
    </w:p>
    <w:p w14:paraId="5FEE65B2" w14:textId="77777777" w:rsidR="005C0C8A" w:rsidRDefault="00000000">
      <w:pPr>
        <w:bidi/>
        <w:spacing w:after="80"/>
        <w:ind w:left="283" w:right="255"/>
        <w:jc w:val="both"/>
      </w:pPr>
      <w:r>
        <w:rPr>
          <w:rFonts w:ascii="Times New Roman" w:hAnsi="Times New Roman"/>
          <w:color w:val="000000"/>
        </w:rPr>
        <w:t>• للصيدلية: توفير واجهة لإدارة المخزون والدوام والطلبات والتواصل مع المريض وإجراء الصرف في سياق موثّق.</w:t>
      </w:r>
    </w:p>
    <w:p w14:paraId="57C035B4" w14:textId="77777777" w:rsidR="005C0C8A" w:rsidRDefault="00000000">
      <w:pPr>
        <w:bidi/>
        <w:spacing w:after="80"/>
        <w:ind w:left="283" w:right="255"/>
        <w:jc w:val="both"/>
      </w:pPr>
      <w:r>
        <w:rPr>
          <w:rFonts w:ascii="Times New Roman" w:hAnsi="Times New Roman"/>
          <w:color w:val="000000"/>
        </w:rPr>
        <w:t>• من الناحية الهندسية: تقديم حالة تطبيقية لاستخدام بنية الخدمات المصغّرة، وتوثيق عمليات متسقة بين قواعد بيانات منفصلة، وتجنّب التكرار عند إعادة المحاولة.</w:t>
      </w:r>
    </w:p>
    <w:p w14:paraId="03D924A5" w14:textId="77777777" w:rsidR="005C0C8A" w:rsidRDefault="00000000">
      <w:pPr>
        <w:pStyle w:val="21"/>
        <w:bidi/>
        <w:jc w:val="right"/>
      </w:pPr>
      <w:r>
        <w:rPr>
          <w:rFonts w:ascii="Times New Roman" w:eastAsia="Simplified Arabic" w:hAnsi="Times New Roman" w:cs="Simplified Arabic"/>
        </w:rPr>
        <w:lastRenderedPageBreak/>
        <w:t>4. الهدف الرئيسي والأهداف الفرعية</w:t>
      </w:r>
    </w:p>
    <w:p w14:paraId="3C5F70C9" w14:textId="77777777" w:rsidR="005C0C8A" w:rsidRDefault="00000000">
      <w:pPr>
        <w:bidi/>
        <w:spacing w:after="120"/>
        <w:jc w:val="both"/>
      </w:pPr>
      <w:r>
        <w:rPr>
          <w:rFonts w:ascii="Times New Roman" w:hAnsi="Times New Roman"/>
          <w:color w:val="000000"/>
        </w:rPr>
        <w:t>الهدف الرئيسي: بناء منصة ويب لتكامل خدمات إدارة الأدوية والصيدليات، تربط المريض بالصيدلية بدءاً من البحث عن الدواء والطلب حتى الصرف والتحديث الآلي لسجل المريض الدوائي والتذكيرات المرتبطة بالجدول.</w:t>
      </w:r>
    </w:p>
    <w:tbl>
      <w:tblPr>
        <w:tblStyle w:val="afa"/>
        <w:tblW w:w="0" w:type="auto"/>
        <w:jc w:val="center"/>
        <w:tblLayout w:type="fixed"/>
        <w:tblLook w:val="04A0" w:firstRow="1" w:lastRow="0" w:firstColumn="1" w:lastColumn="0" w:noHBand="0" w:noVBand="1"/>
      </w:tblPr>
      <w:tblGrid>
        <w:gridCol w:w="4513"/>
        <w:gridCol w:w="4513"/>
      </w:tblGrid>
      <w:tr w:rsidR="005C0C8A" w14:paraId="7429CDAC" w14:textId="77777777">
        <w:trPr>
          <w:cantSplit/>
          <w:tblHeader/>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E9F2FF"/>
            <w:tcMar>
              <w:top w:w="115" w:type="dxa"/>
              <w:left w:w="145" w:type="dxa"/>
              <w:bottom w:w="115" w:type="dxa"/>
              <w:right w:w="145" w:type="dxa"/>
            </w:tcMar>
            <w:vAlign w:val="center"/>
          </w:tcPr>
          <w:p w14:paraId="34769441" w14:textId="77777777" w:rsidR="005C0C8A" w:rsidRDefault="00000000">
            <w:pPr>
              <w:bidi/>
              <w:spacing w:before="0" w:after="0" w:line="264" w:lineRule="auto"/>
              <w:jc w:val="right"/>
            </w:pPr>
            <w:r>
              <w:rPr>
                <w:rFonts w:ascii="Times New Roman" w:hAnsi="Times New Roman"/>
                <w:b/>
                <w:color w:val="000000"/>
                <w:sz w:val="24"/>
              </w:rPr>
              <w:t>الهدف الفرعي</w:t>
            </w:r>
          </w:p>
        </w:tc>
        <w:tc>
          <w:tcPr>
            <w:tcW w:w="4513" w:type="dxa"/>
            <w:tcBorders>
              <w:top w:val="single" w:sz="4" w:space="0" w:color="CCD9E7"/>
              <w:left w:val="single" w:sz="4" w:space="0" w:color="CCD9E7"/>
              <w:bottom w:val="single" w:sz="4" w:space="0" w:color="CCD9E7"/>
              <w:right w:val="single" w:sz="4" w:space="0" w:color="CCD9E7"/>
            </w:tcBorders>
            <w:shd w:val="clear" w:color="auto" w:fill="E9F2FF"/>
            <w:tcMar>
              <w:top w:w="115" w:type="dxa"/>
              <w:left w:w="145" w:type="dxa"/>
              <w:bottom w:w="115" w:type="dxa"/>
              <w:right w:w="145" w:type="dxa"/>
            </w:tcMar>
            <w:vAlign w:val="center"/>
          </w:tcPr>
          <w:p w14:paraId="44225529" w14:textId="77777777" w:rsidR="005C0C8A" w:rsidRDefault="00000000">
            <w:pPr>
              <w:bidi/>
              <w:spacing w:before="0" w:after="0" w:line="264" w:lineRule="auto"/>
              <w:jc w:val="right"/>
            </w:pPr>
            <w:r>
              <w:rPr>
                <w:rFonts w:ascii="Times New Roman" w:hAnsi="Times New Roman"/>
                <w:b/>
                <w:color w:val="000000"/>
                <w:sz w:val="24"/>
              </w:rPr>
              <w:t>مؤشر التحقق المقترح</w:t>
            </w:r>
          </w:p>
        </w:tc>
      </w:tr>
      <w:tr w:rsidR="005C0C8A" w14:paraId="6EE8D947"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02C44024" w14:textId="77777777" w:rsidR="005C0C8A" w:rsidRDefault="00000000">
            <w:pPr>
              <w:bidi/>
              <w:spacing w:before="0" w:after="0" w:line="264" w:lineRule="auto"/>
              <w:jc w:val="right"/>
            </w:pPr>
            <w:r>
              <w:rPr>
                <w:rFonts w:ascii="Times New Roman" w:hAnsi="Times New Roman"/>
                <w:color w:val="000000"/>
                <w:sz w:val="22"/>
              </w:rPr>
              <w:t>إتاحة البحث عن الأدوية والصيدليات</w:t>
            </w:r>
          </w:p>
        </w:tc>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3DDD53E9" w14:textId="77777777" w:rsidR="005C0C8A" w:rsidRDefault="00000000">
            <w:pPr>
              <w:bidi/>
              <w:spacing w:before="0" w:after="0" w:line="264" w:lineRule="auto"/>
              <w:jc w:val="right"/>
            </w:pPr>
            <w:r>
              <w:rPr>
                <w:rFonts w:ascii="Times New Roman" w:hAnsi="Times New Roman"/>
                <w:color w:val="000000"/>
                <w:sz w:val="22"/>
              </w:rPr>
              <w:t>ظهور قائمة الدواء والصيدليات المتاحة، مع السعر ومعلومة الموقع حيث تتوفر</w:t>
            </w:r>
          </w:p>
        </w:tc>
      </w:tr>
      <w:tr w:rsidR="005C0C8A" w14:paraId="7CED4FFF"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75E45C25" w14:textId="77777777" w:rsidR="005C0C8A" w:rsidRDefault="00000000">
            <w:pPr>
              <w:bidi/>
              <w:spacing w:before="0" w:after="0" w:line="264" w:lineRule="auto"/>
              <w:jc w:val="right"/>
            </w:pPr>
            <w:r>
              <w:rPr>
                <w:rFonts w:ascii="Times New Roman" w:hAnsi="Times New Roman"/>
                <w:color w:val="000000"/>
                <w:sz w:val="22"/>
              </w:rPr>
              <w:t>تقديم طلب دواء أو وصفة مصوّرة</w:t>
            </w:r>
          </w:p>
        </w:tc>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54AFF23F" w14:textId="77777777" w:rsidR="005C0C8A" w:rsidRDefault="00000000">
            <w:pPr>
              <w:bidi/>
              <w:spacing w:before="0" w:after="0" w:line="264" w:lineRule="auto"/>
              <w:jc w:val="right"/>
            </w:pPr>
            <w:r>
              <w:rPr>
                <w:rFonts w:ascii="Times New Roman" w:hAnsi="Times New Roman"/>
                <w:color w:val="000000"/>
                <w:sz w:val="22"/>
              </w:rPr>
              <w:t>إنشاء الطلب وتغيّر حالته وفق العمليات المسموح بها</w:t>
            </w:r>
          </w:p>
        </w:tc>
      </w:tr>
      <w:tr w:rsidR="005C0C8A" w14:paraId="75D65CC7"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3722E62B" w14:textId="77777777" w:rsidR="005C0C8A" w:rsidRDefault="00000000">
            <w:pPr>
              <w:bidi/>
              <w:spacing w:before="0" w:after="0" w:line="264" w:lineRule="auto"/>
              <w:jc w:val="right"/>
            </w:pPr>
            <w:r>
              <w:rPr>
                <w:rFonts w:ascii="Times New Roman" w:hAnsi="Times New Roman"/>
                <w:color w:val="000000"/>
                <w:sz w:val="22"/>
              </w:rPr>
              <w:t>تمكين الصيدلية من إدارة مخزونها وصرف الطلبات</w:t>
            </w:r>
          </w:p>
        </w:tc>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50E4D543" w14:textId="77777777" w:rsidR="005C0C8A" w:rsidRDefault="00000000">
            <w:pPr>
              <w:bidi/>
              <w:spacing w:before="0" w:after="0" w:line="264" w:lineRule="auto"/>
              <w:jc w:val="right"/>
            </w:pPr>
            <w:r>
              <w:rPr>
                <w:rFonts w:ascii="Times New Roman" w:hAnsi="Times New Roman"/>
                <w:color w:val="000000"/>
                <w:sz w:val="22"/>
              </w:rPr>
              <w:t>تحديث المخزون المرتبط بعملية صرف واحدة ومنع خصم الكمية مرتين</w:t>
            </w:r>
          </w:p>
        </w:tc>
      </w:tr>
      <w:tr w:rsidR="005C0C8A" w14:paraId="453C153E"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3BB23EA5" w14:textId="77777777" w:rsidR="005C0C8A" w:rsidRDefault="00000000">
            <w:pPr>
              <w:bidi/>
              <w:spacing w:before="0" w:after="0" w:line="264" w:lineRule="auto"/>
              <w:jc w:val="right"/>
            </w:pPr>
            <w:r>
              <w:rPr>
                <w:rFonts w:ascii="Times New Roman" w:hAnsi="Times New Roman"/>
                <w:color w:val="000000"/>
                <w:sz w:val="22"/>
              </w:rPr>
              <w:t>إدارة السجل الدوائي والجرعات</w:t>
            </w:r>
          </w:p>
        </w:tc>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401A1FA0" w14:textId="77777777" w:rsidR="005C0C8A" w:rsidRDefault="00000000">
            <w:pPr>
              <w:bidi/>
              <w:spacing w:before="0" w:after="0" w:line="264" w:lineRule="auto"/>
              <w:jc w:val="right"/>
            </w:pPr>
            <w:r>
              <w:rPr>
                <w:rFonts w:ascii="Times New Roman" w:hAnsi="Times New Roman"/>
                <w:color w:val="000000"/>
                <w:sz w:val="22"/>
              </w:rPr>
              <w:t>ظهور الدواء المصروف في سجل المريض وإنشاء جدول مقترح عند توافر بياناته</w:t>
            </w:r>
          </w:p>
        </w:tc>
      </w:tr>
      <w:tr w:rsidR="005C0C8A" w14:paraId="580471C2"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2D07B661" w14:textId="77777777" w:rsidR="005C0C8A" w:rsidRDefault="00000000">
            <w:pPr>
              <w:bidi/>
              <w:spacing w:before="0" w:after="0" w:line="264" w:lineRule="auto"/>
              <w:jc w:val="right"/>
            </w:pPr>
            <w:r>
              <w:rPr>
                <w:rFonts w:ascii="Times New Roman" w:hAnsi="Times New Roman"/>
                <w:color w:val="000000"/>
                <w:sz w:val="22"/>
              </w:rPr>
              <w:t>حماية العمليات بحسب الدور</w:t>
            </w:r>
          </w:p>
        </w:tc>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1BEC6C53" w14:textId="77777777" w:rsidR="005C0C8A" w:rsidRDefault="00000000">
            <w:pPr>
              <w:bidi/>
              <w:spacing w:before="0" w:after="0" w:line="264" w:lineRule="auto"/>
              <w:jc w:val="right"/>
            </w:pPr>
            <w:r>
              <w:rPr>
                <w:rFonts w:ascii="Times New Roman" w:hAnsi="Times New Roman"/>
                <w:color w:val="000000"/>
                <w:sz w:val="22"/>
              </w:rPr>
              <w:t>منع الوصول غير المصرح به إلى عمليات المريض أو الصيدلية أو الإدارة</w:t>
            </w:r>
          </w:p>
        </w:tc>
      </w:tr>
      <w:tr w:rsidR="005C0C8A" w14:paraId="74CFB2D0"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3D8D15DD" w14:textId="77777777" w:rsidR="005C0C8A" w:rsidRDefault="00000000">
            <w:pPr>
              <w:bidi/>
              <w:spacing w:before="0" w:after="0" w:line="264" w:lineRule="auto"/>
              <w:jc w:val="right"/>
            </w:pPr>
            <w:r>
              <w:rPr>
                <w:rFonts w:ascii="Times New Roman" w:hAnsi="Times New Roman"/>
                <w:color w:val="000000"/>
                <w:sz w:val="22"/>
              </w:rPr>
              <w:t>تحسين التكامل بين الخدمات</w:t>
            </w:r>
          </w:p>
        </w:tc>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688C98D3" w14:textId="77777777" w:rsidR="005C0C8A" w:rsidRDefault="00000000">
            <w:pPr>
              <w:bidi/>
              <w:spacing w:before="0" w:after="0" w:line="264" w:lineRule="auto"/>
              <w:jc w:val="right"/>
            </w:pPr>
            <w:r>
              <w:rPr>
                <w:rFonts w:ascii="Times New Roman" w:hAnsi="Times New Roman"/>
                <w:color w:val="000000"/>
                <w:sz w:val="22"/>
              </w:rPr>
              <w:t>حفظ الأحداث وإعادة توصيلها مع معالجة التكرار عند الاستقبال</w:t>
            </w:r>
          </w:p>
        </w:tc>
      </w:tr>
    </w:tbl>
    <w:p w14:paraId="5F0BBF6F" w14:textId="77777777" w:rsidR="005C0C8A" w:rsidRDefault="005C0C8A"/>
    <w:p w14:paraId="60BBF87D" w14:textId="77777777" w:rsidR="005C0C8A" w:rsidRDefault="00000000">
      <w:pPr>
        <w:bidi/>
        <w:spacing w:after="120"/>
        <w:jc w:val="both"/>
      </w:pPr>
      <w:r>
        <w:rPr>
          <w:rFonts w:ascii="Times New Roman" w:hAnsi="Times New Roman"/>
          <w:color w:val="000000"/>
        </w:rPr>
        <w:t>ملاحظة: مؤشرات التحقق أعلاه مقترحة لاختبارات القبول، وليست ادعاءً بأن جميع الاختبارات قد نُفذت أو نجحت.</w:t>
      </w:r>
    </w:p>
    <w:p w14:paraId="2638B438" w14:textId="77777777" w:rsidR="005C0C8A" w:rsidRDefault="00000000">
      <w:pPr>
        <w:pStyle w:val="21"/>
        <w:bidi/>
        <w:jc w:val="right"/>
      </w:pPr>
      <w:r>
        <w:rPr>
          <w:rFonts w:ascii="Times New Roman" w:eastAsia="Simplified Arabic" w:hAnsi="Times New Roman" w:cs="Simplified Arabic"/>
        </w:rPr>
        <w:t>5. حدود المشروع والقيود</w:t>
      </w:r>
    </w:p>
    <w:p w14:paraId="686695E4" w14:textId="77777777" w:rsidR="005C0C8A" w:rsidRDefault="00000000">
      <w:pPr>
        <w:bidi/>
        <w:spacing w:after="120"/>
        <w:jc w:val="both"/>
      </w:pPr>
      <w:r>
        <w:rPr>
          <w:rFonts w:ascii="Times New Roman" w:hAnsi="Times New Roman"/>
          <w:color w:val="000000"/>
        </w:rPr>
        <w:t>يشمل النطاق الحالي: ثلاثة أدوار أساسية (مريض، صيدلية، مدير نظام)، حسابات المستخدمين، اعتماد الصيدليات وإدارتها، كتالوج الأدوية، المخزون والأسعار، البحث الجغرافي، الطلبات والوصفات المصوّرة والمراسلة، سجل الأدوية المقتناة، جدول الجرعات والإشعارات. تعتمد الواجهة على HTML وCSS وJavaScript دون إطار React أو Node.js.</w:t>
      </w:r>
    </w:p>
    <w:p w14:paraId="42914BF5" w14:textId="77777777" w:rsidR="005C0C8A" w:rsidRDefault="00000000">
      <w:pPr>
        <w:bidi/>
        <w:spacing w:after="120"/>
        <w:jc w:val="both"/>
      </w:pPr>
      <w:r>
        <w:rPr>
          <w:rFonts w:ascii="Times New Roman" w:hAnsi="Times New Roman"/>
          <w:color w:val="000000"/>
        </w:rPr>
        <w:t>لا تُعد المنصة أداة تشخيص طبي أو جهة لإصدار وصفات دوائية؛ ويُفسَّر عرض البدائل على أنه تطابق برمجي في بيانات التركيبة لا قرار علاجي مستقل. ولا تتضمن الشيفرة الحالية نموذج تعلم آلة لتقديم التوصيات الطبية. كما أن اعتماد خدمة توجيه طرق خارجية وخريطة تفاعلية يجعل بعض خصائص الموقع مشروطة بوجود اتصال بالشبكة.</w:t>
      </w:r>
    </w:p>
    <w:p w14:paraId="5B1BC0B5" w14:textId="77777777" w:rsidR="005C0C8A" w:rsidRDefault="00000000">
      <w:pPr>
        <w:pStyle w:val="1"/>
        <w:pBdr>
          <w:bottom w:val="single" w:sz="14" w:space="7" w:color="1A68D1"/>
        </w:pBdr>
        <w:bidi/>
        <w:spacing w:after="160"/>
        <w:jc w:val="right"/>
      </w:pPr>
      <w:r>
        <w:rPr>
          <w:rFonts w:ascii="Times New Roman" w:eastAsia="Simplified Arabic" w:hAnsi="Times New Roman" w:cs="Simplified Arabic"/>
        </w:rPr>
        <w:lastRenderedPageBreak/>
        <w:t>ثانياً: الدراسات السابقة والحلول القائمة (State of the Art)</w:t>
      </w:r>
    </w:p>
    <w:p w14:paraId="52BCBD43" w14:textId="77777777" w:rsidR="005C0C8A" w:rsidRDefault="00000000">
      <w:pPr>
        <w:pStyle w:val="21"/>
        <w:bidi/>
        <w:jc w:val="right"/>
      </w:pPr>
      <w:r>
        <w:rPr>
          <w:rFonts w:ascii="Times New Roman" w:eastAsia="Simplified Arabic" w:hAnsi="Times New Roman" w:cs="Simplified Arabic"/>
        </w:rPr>
        <w:t>1. منهج المقارنة</w:t>
      </w:r>
    </w:p>
    <w:p w14:paraId="2DB5A78E" w14:textId="77777777" w:rsidR="005C0C8A" w:rsidRDefault="00000000">
      <w:pPr>
        <w:bidi/>
        <w:spacing w:after="120"/>
        <w:jc w:val="both"/>
      </w:pPr>
      <w:r>
        <w:rPr>
          <w:rFonts w:ascii="Times New Roman" w:hAnsi="Times New Roman"/>
          <w:color w:val="000000"/>
        </w:rPr>
        <w:t>تغطي الأدبيات المختارة محورين متكاملين: تطبيقات تذكير الدواء والالتزام، وأنظمة رؤية المخزون الدوائي وتحديد الصيدليات. تتم المقارنة بناءً على السؤال الذي تعالجه الدراسة وما تقدمه من معرفة يمكن الاستفادة منها في المنصة. لا تعني هذه المراجعة أن أي دراسة أو منتج مذكور يطابق نطاق المشروع بالكامل، ولا تُستخدم نتائج الدراسات للتنبؤ بأثر صحي لم يُقَس داخل المشروع.</w:t>
      </w:r>
    </w:p>
    <w:p w14:paraId="2CE9C1DD" w14:textId="77777777" w:rsidR="005C0C8A" w:rsidRDefault="00000000">
      <w:pPr>
        <w:pStyle w:val="21"/>
        <w:bidi/>
        <w:jc w:val="right"/>
      </w:pPr>
      <w:r>
        <w:rPr>
          <w:rFonts w:ascii="Times New Roman" w:eastAsia="Simplified Arabic" w:hAnsi="Times New Roman" w:cs="Simplified Arabic"/>
        </w:rPr>
        <w:t>2. دراسات ومراجع ذات صلة</w:t>
      </w:r>
    </w:p>
    <w:p w14:paraId="1EBEF582" w14:textId="77777777" w:rsidR="005C0C8A" w:rsidRDefault="00000000">
      <w:pPr>
        <w:pStyle w:val="31"/>
        <w:bidi/>
        <w:spacing w:after="160"/>
        <w:jc w:val="right"/>
      </w:pPr>
      <w:r>
        <w:rPr>
          <w:rFonts w:ascii="Times New Roman" w:eastAsia="Simplified Arabic" w:hAnsi="Times New Roman" w:cs="Simplified Arabic"/>
        </w:rPr>
        <w:t>1. Jiménez-Chala وآخرون (2022)</w:t>
      </w:r>
    </w:p>
    <w:p w14:paraId="1EDD34E0" w14:textId="77777777" w:rsidR="005C0C8A" w:rsidRDefault="00000000">
      <w:pPr>
        <w:bidi/>
        <w:spacing w:after="120"/>
        <w:jc w:val="both"/>
      </w:pPr>
      <w:r>
        <w:rPr>
          <w:rFonts w:ascii="Times New Roman" w:hAnsi="Times New Roman"/>
          <w:color w:val="000000"/>
        </w:rPr>
        <w:t>موضوع الدراسة: مراجعة منهجية لتطبيقات دعم الالتزام العلاجي لدى البالغين؛ تسلّط الضوء على التذكيرات والتوثيق والتواصل، وعلى الحاجة إلى دراسات أكثر جودة لتعميم الأثر.</w:t>
      </w:r>
    </w:p>
    <w:p w14:paraId="27423524" w14:textId="77777777" w:rsidR="005C0C8A" w:rsidRDefault="00000000">
      <w:pPr>
        <w:bidi/>
        <w:spacing w:after="120"/>
        <w:jc w:val="both"/>
      </w:pPr>
      <w:r>
        <w:rPr>
          <w:rFonts w:ascii="Times New Roman" w:hAnsi="Times New Roman"/>
          <w:color w:val="000000"/>
        </w:rPr>
        <w:t>علاقتها بالمشروع: يدعم اعتماد التذكير وتوثيق الجرعات كجزء وظيفي، دون الادعاء بفعالية سريرية مثبتة لمنصتنا.</w:t>
      </w:r>
    </w:p>
    <w:p w14:paraId="31FD6FA9" w14:textId="77777777" w:rsidR="005C0C8A" w:rsidRDefault="00000000">
      <w:pPr>
        <w:pStyle w:val="31"/>
        <w:bidi/>
        <w:spacing w:after="160"/>
        <w:jc w:val="right"/>
      </w:pPr>
      <w:r>
        <w:rPr>
          <w:rFonts w:ascii="Times New Roman" w:eastAsia="Simplified Arabic" w:hAnsi="Times New Roman" w:cs="Simplified Arabic"/>
        </w:rPr>
        <w:t>2. Islam وآخرون (2022)</w:t>
      </w:r>
    </w:p>
    <w:p w14:paraId="62B1681B" w14:textId="77777777" w:rsidR="005C0C8A" w:rsidRDefault="00000000">
      <w:pPr>
        <w:bidi/>
        <w:spacing w:after="120"/>
        <w:jc w:val="both"/>
      </w:pPr>
      <w:r>
        <w:rPr>
          <w:rFonts w:ascii="Times New Roman" w:hAnsi="Times New Roman"/>
          <w:color w:val="000000"/>
        </w:rPr>
        <w:t>موضوع الدراسة: مراجعة منهجية لتطبيقات الهواتف المساعدة في الالتزام بأدوية السكري.</w:t>
      </w:r>
    </w:p>
    <w:p w14:paraId="4AF3B91C" w14:textId="77777777" w:rsidR="005C0C8A" w:rsidRDefault="00000000">
      <w:pPr>
        <w:bidi/>
        <w:spacing w:after="120"/>
        <w:jc w:val="both"/>
      </w:pPr>
      <w:r>
        <w:rPr>
          <w:rFonts w:ascii="Times New Roman" w:hAnsi="Times New Roman"/>
          <w:color w:val="000000"/>
        </w:rPr>
        <w:t>علاقتها بالمشروع: تؤكد ضرورة تنظيم تذكير الجرعات وسجل تناوله في حالات العلاج المستمر.</w:t>
      </w:r>
    </w:p>
    <w:p w14:paraId="03115732" w14:textId="77777777" w:rsidR="005C0C8A" w:rsidRDefault="00000000">
      <w:pPr>
        <w:pStyle w:val="31"/>
        <w:bidi/>
        <w:spacing w:after="160"/>
        <w:jc w:val="right"/>
      </w:pPr>
      <w:r>
        <w:rPr>
          <w:rFonts w:ascii="Times New Roman" w:eastAsia="Simplified Arabic" w:hAnsi="Times New Roman" w:cs="Simplified Arabic"/>
        </w:rPr>
        <w:t>3. Ashemore وآخرون (2023)</w:t>
      </w:r>
    </w:p>
    <w:p w14:paraId="4B4ABB7B" w14:textId="77777777" w:rsidR="005C0C8A" w:rsidRDefault="00000000">
      <w:pPr>
        <w:bidi/>
        <w:spacing w:after="120"/>
        <w:jc w:val="both"/>
      </w:pPr>
      <w:r>
        <w:rPr>
          <w:rFonts w:ascii="Times New Roman" w:hAnsi="Times New Roman"/>
          <w:color w:val="000000"/>
        </w:rPr>
        <w:t>موضوع الدراسة: دراسة عن ضعف الرؤية الرقمية الدقيقة لمخزون الدواء داخل أنظمة صحية متعددة.</w:t>
      </w:r>
    </w:p>
    <w:p w14:paraId="0D073EDF" w14:textId="77777777" w:rsidR="005C0C8A" w:rsidRDefault="00000000">
      <w:pPr>
        <w:bidi/>
        <w:spacing w:after="120"/>
        <w:jc w:val="both"/>
      </w:pPr>
      <w:r>
        <w:rPr>
          <w:rFonts w:ascii="Times New Roman" w:hAnsi="Times New Roman"/>
          <w:color w:val="000000"/>
        </w:rPr>
        <w:t>علاقتها بالمشروع: تبرر أهمية تحديث بيانات توافر الأدوية من مصدرها التشغيلي.</w:t>
      </w:r>
    </w:p>
    <w:p w14:paraId="6A03ABAE" w14:textId="77777777" w:rsidR="005C0C8A" w:rsidRDefault="00000000">
      <w:pPr>
        <w:pStyle w:val="31"/>
        <w:bidi/>
        <w:spacing w:after="160"/>
        <w:jc w:val="right"/>
      </w:pPr>
      <w:r>
        <w:rPr>
          <w:rFonts w:ascii="Times New Roman" w:eastAsia="Simplified Arabic" w:hAnsi="Times New Roman" w:cs="Simplified Arabic"/>
        </w:rPr>
        <w:t>4. Wondmagegn وآخرون (2023)</w:t>
      </w:r>
    </w:p>
    <w:p w14:paraId="29DE14AB" w14:textId="77777777" w:rsidR="005C0C8A" w:rsidRDefault="00000000">
      <w:pPr>
        <w:bidi/>
        <w:spacing w:after="120"/>
        <w:jc w:val="both"/>
      </w:pPr>
      <w:r>
        <w:rPr>
          <w:rFonts w:ascii="Times New Roman" w:hAnsi="Times New Roman"/>
          <w:color w:val="000000"/>
        </w:rPr>
        <w:t>موضوع الدراسة: إطار لتحديد الصيدليات التي تملك دواءً موصوفاً مع مراعاة الموقع والكلفة والزمن ومواعيد العمل.</w:t>
      </w:r>
    </w:p>
    <w:p w14:paraId="47CBB186" w14:textId="77777777" w:rsidR="005C0C8A" w:rsidRDefault="00000000">
      <w:pPr>
        <w:bidi/>
        <w:spacing w:after="120"/>
        <w:jc w:val="both"/>
      </w:pPr>
      <w:r>
        <w:rPr>
          <w:rFonts w:ascii="Times New Roman" w:hAnsi="Times New Roman"/>
          <w:color w:val="000000"/>
        </w:rPr>
        <w:t>علاقتها بالمشروع: مرتبط مباشرة بخاصية البحث عن صيدليات متاحة وقريبة.</w:t>
      </w:r>
    </w:p>
    <w:p w14:paraId="6C662D81" w14:textId="77777777" w:rsidR="005C0C8A" w:rsidRDefault="00000000">
      <w:pPr>
        <w:pStyle w:val="31"/>
        <w:bidi/>
        <w:spacing w:after="160"/>
        <w:jc w:val="right"/>
      </w:pPr>
      <w:r>
        <w:rPr>
          <w:rFonts w:ascii="Times New Roman" w:eastAsia="Simplified Arabic" w:hAnsi="Times New Roman" w:cs="Simplified Arabic"/>
        </w:rPr>
        <w:t>5. Tinam-isan وآخرون (2024)</w:t>
      </w:r>
    </w:p>
    <w:p w14:paraId="26ECA72D" w14:textId="77777777" w:rsidR="005C0C8A" w:rsidRDefault="00000000">
      <w:pPr>
        <w:bidi/>
        <w:spacing w:after="120"/>
        <w:jc w:val="both"/>
      </w:pPr>
      <w:r>
        <w:rPr>
          <w:rFonts w:ascii="Times New Roman" w:hAnsi="Times New Roman"/>
          <w:color w:val="000000"/>
        </w:rPr>
        <w:t>موضوع الدراسة: منصة ويب وهاتف مدعومة بنظم معلومات جغرافية للعثور على صيدليات تملك الدواء.</w:t>
      </w:r>
    </w:p>
    <w:p w14:paraId="5FD61FD2" w14:textId="77777777" w:rsidR="005C0C8A" w:rsidRDefault="00000000">
      <w:pPr>
        <w:bidi/>
        <w:spacing w:after="120"/>
        <w:jc w:val="both"/>
      </w:pPr>
      <w:r>
        <w:rPr>
          <w:rFonts w:ascii="Times New Roman" w:hAnsi="Times New Roman"/>
          <w:color w:val="000000"/>
        </w:rPr>
        <w:t>علاقتها بالمشروع: مرجع للمقارنة في الربط بين المخزون والموقع والخريطة.</w:t>
      </w:r>
    </w:p>
    <w:p w14:paraId="348F9727" w14:textId="77777777" w:rsidR="005C0C8A" w:rsidRDefault="00000000">
      <w:pPr>
        <w:pStyle w:val="31"/>
        <w:bidi/>
        <w:spacing w:after="160"/>
        <w:jc w:val="right"/>
      </w:pPr>
      <w:r>
        <w:rPr>
          <w:rFonts w:ascii="Times New Roman" w:eastAsia="Simplified Arabic" w:hAnsi="Times New Roman" w:cs="Simplified Arabic"/>
        </w:rPr>
        <w:t>6. Yadav (2024)</w:t>
      </w:r>
    </w:p>
    <w:p w14:paraId="03A6812C" w14:textId="77777777" w:rsidR="005C0C8A" w:rsidRDefault="00000000">
      <w:pPr>
        <w:bidi/>
        <w:spacing w:after="120"/>
        <w:jc w:val="both"/>
      </w:pPr>
      <w:r>
        <w:rPr>
          <w:rFonts w:ascii="Times New Roman" w:hAnsi="Times New Roman"/>
          <w:color w:val="000000"/>
        </w:rPr>
        <w:t>موضوع الدراسة: إطار تحليلي للتحول الرقمي في سلاسل إمداد المنتجات الصحية ودور تدفق البيانات.</w:t>
      </w:r>
    </w:p>
    <w:p w14:paraId="25B62BD5" w14:textId="77777777" w:rsidR="005C0C8A" w:rsidRDefault="00000000">
      <w:pPr>
        <w:bidi/>
        <w:spacing w:after="120"/>
        <w:jc w:val="both"/>
      </w:pPr>
      <w:r>
        <w:rPr>
          <w:rFonts w:ascii="Times New Roman" w:hAnsi="Times New Roman"/>
          <w:color w:val="000000"/>
        </w:rPr>
        <w:lastRenderedPageBreak/>
        <w:t>علاقتها بالمشروع: يفيد في مناقشة أهمية المعلومات وتنسيق الأطراف في دورة توفر الدواء.</w:t>
      </w:r>
    </w:p>
    <w:p w14:paraId="58BC62B8" w14:textId="77777777" w:rsidR="005C0C8A" w:rsidRDefault="00000000">
      <w:pPr>
        <w:pStyle w:val="31"/>
        <w:bidi/>
        <w:spacing w:after="160"/>
        <w:jc w:val="right"/>
      </w:pPr>
      <w:r>
        <w:rPr>
          <w:rFonts w:ascii="Times New Roman" w:eastAsia="Simplified Arabic" w:hAnsi="Times New Roman" w:cs="Simplified Arabic"/>
        </w:rPr>
        <w:t>7. Lanke وآخرون (2025)</w:t>
      </w:r>
    </w:p>
    <w:p w14:paraId="4E240C9A" w14:textId="77777777" w:rsidR="005C0C8A" w:rsidRDefault="00000000">
      <w:pPr>
        <w:bidi/>
        <w:spacing w:after="120"/>
        <w:jc w:val="both"/>
      </w:pPr>
      <w:r>
        <w:rPr>
          <w:rFonts w:ascii="Times New Roman" w:hAnsi="Times New Roman"/>
          <w:color w:val="000000"/>
        </w:rPr>
        <w:t>موضوع الدراسة: مراجعة منهجية وتحليل تلوي لفعالية تطبيقات الهواتف في دعم الالتزام بالأدوية لدى أصحاب الأمراض المزمنة.</w:t>
      </w:r>
    </w:p>
    <w:p w14:paraId="58044F07" w14:textId="77777777" w:rsidR="005C0C8A" w:rsidRDefault="00000000">
      <w:pPr>
        <w:bidi/>
        <w:spacing w:after="120"/>
        <w:jc w:val="both"/>
      </w:pPr>
      <w:r>
        <w:rPr>
          <w:rFonts w:ascii="Times New Roman" w:hAnsi="Times New Roman"/>
          <w:color w:val="000000"/>
        </w:rPr>
        <w:t>علاقتها بالمشروع: تعزز أهمية خصائص التذكير، مع التنبيه إلى حدود قوة الأدلة والتباين بين الدراسات.</w:t>
      </w:r>
    </w:p>
    <w:p w14:paraId="3858ACA4" w14:textId="77777777" w:rsidR="005C0C8A" w:rsidRDefault="00000000">
      <w:pPr>
        <w:pStyle w:val="31"/>
        <w:bidi/>
        <w:spacing w:after="160"/>
        <w:jc w:val="right"/>
      </w:pPr>
      <w:r>
        <w:rPr>
          <w:rFonts w:ascii="Times New Roman" w:eastAsia="Simplified Arabic" w:hAnsi="Times New Roman" w:cs="Simplified Arabic"/>
        </w:rPr>
        <w:t>8. Abimanyu وآخرون (2026)</w:t>
      </w:r>
    </w:p>
    <w:p w14:paraId="3CE3D50A" w14:textId="77777777" w:rsidR="005C0C8A" w:rsidRDefault="00000000">
      <w:pPr>
        <w:bidi/>
        <w:spacing w:after="120"/>
        <w:jc w:val="both"/>
      </w:pPr>
      <w:r>
        <w:rPr>
          <w:rFonts w:ascii="Times New Roman" w:hAnsi="Times New Roman"/>
          <w:color w:val="000000"/>
        </w:rPr>
        <w:t>موضوع الدراسة: مراجعة منهجية لتأثير التكنولوجيا الرقمية في كفاءة صيدليات المستشفيات وأمان الصرف وإدارة المخزون.</w:t>
      </w:r>
    </w:p>
    <w:p w14:paraId="0B70A2B9" w14:textId="77777777" w:rsidR="005C0C8A" w:rsidRDefault="00000000">
      <w:pPr>
        <w:bidi/>
        <w:spacing w:after="120"/>
        <w:jc w:val="both"/>
      </w:pPr>
      <w:r>
        <w:rPr>
          <w:rFonts w:ascii="Times New Roman" w:hAnsi="Times New Roman"/>
          <w:color w:val="000000"/>
        </w:rPr>
        <w:t>علاقتها بالمشروع: تفيد في تبرير إدارة المخزون رقمياً وتحديد تحديات التطبيق البشري والتقني.</w:t>
      </w:r>
    </w:p>
    <w:p w14:paraId="7B1F4E9F" w14:textId="77777777" w:rsidR="005C0C8A" w:rsidRDefault="00000000">
      <w:pPr>
        <w:pStyle w:val="21"/>
        <w:bidi/>
        <w:jc w:val="right"/>
      </w:pPr>
      <w:r>
        <w:rPr>
          <w:rFonts w:ascii="Times New Roman" w:eastAsia="Simplified Arabic" w:hAnsi="Times New Roman" w:cs="Simplified Arabic"/>
        </w:rPr>
        <w:t>3. المقارنة مع أنظمة قائمة</w:t>
      </w:r>
    </w:p>
    <w:p w14:paraId="7B182B89" w14:textId="77777777" w:rsidR="005C0C8A" w:rsidRDefault="00000000">
      <w:pPr>
        <w:bidi/>
        <w:spacing w:after="120"/>
        <w:jc w:val="both"/>
      </w:pPr>
      <w:r>
        <w:rPr>
          <w:rFonts w:ascii="Times New Roman" w:hAnsi="Times New Roman"/>
          <w:color w:val="000000"/>
        </w:rPr>
        <w:t>الجدول التالي مقارنة وصفية للوظائف المعلنة في المواقع الرسمية، لا اختباراً عملياً للمنتجات ولا حكماً على جميع خصائصها:</w:t>
      </w:r>
    </w:p>
    <w:tbl>
      <w:tblPr>
        <w:tblStyle w:val="afa"/>
        <w:tblW w:w="0" w:type="auto"/>
        <w:jc w:val="center"/>
        <w:tblLayout w:type="fixed"/>
        <w:tblLook w:val="04A0" w:firstRow="1" w:lastRow="0" w:firstColumn="1" w:lastColumn="0" w:noHBand="0" w:noVBand="1"/>
      </w:tblPr>
      <w:tblGrid>
        <w:gridCol w:w="2256"/>
        <w:gridCol w:w="2256"/>
        <w:gridCol w:w="2256"/>
        <w:gridCol w:w="2256"/>
      </w:tblGrid>
      <w:tr w:rsidR="005C0C8A" w14:paraId="421E0B6A" w14:textId="77777777">
        <w:trPr>
          <w:cantSplit/>
          <w:tblHeader/>
          <w:jc w:val="center"/>
        </w:trPr>
        <w:tc>
          <w:tcPr>
            <w:tcW w:w="2256" w:type="dxa"/>
            <w:tcBorders>
              <w:top w:val="single" w:sz="4" w:space="0" w:color="CCD9E7"/>
              <w:left w:val="single" w:sz="4" w:space="0" w:color="CCD9E7"/>
              <w:bottom w:val="single" w:sz="4" w:space="0" w:color="CCD9E7"/>
              <w:right w:val="single" w:sz="4" w:space="0" w:color="CCD9E7"/>
            </w:tcBorders>
            <w:shd w:val="clear" w:color="auto" w:fill="E9F2FF"/>
            <w:tcMar>
              <w:top w:w="115" w:type="dxa"/>
              <w:left w:w="145" w:type="dxa"/>
              <w:bottom w:w="115" w:type="dxa"/>
              <w:right w:w="145" w:type="dxa"/>
            </w:tcMar>
            <w:vAlign w:val="center"/>
          </w:tcPr>
          <w:p w14:paraId="694B17AF" w14:textId="77777777" w:rsidR="005C0C8A" w:rsidRDefault="00000000">
            <w:pPr>
              <w:bidi/>
              <w:spacing w:before="0" w:after="0" w:line="264" w:lineRule="auto"/>
              <w:jc w:val="right"/>
            </w:pPr>
            <w:r>
              <w:rPr>
                <w:rFonts w:ascii="Times New Roman" w:hAnsi="Times New Roman"/>
                <w:b/>
                <w:color w:val="000000"/>
                <w:sz w:val="24"/>
              </w:rPr>
              <w:t>النظام</w:t>
            </w:r>
          </w:p>
        </w:tc>
        <w:tc>
          <w:tcPr>
            <w:tcW w:w="2256" w:type="dxa"/>
            <w:tcBorders>
              <w:top w:val="single" w:sz="4" w:space="0" w:color="CCD9E7"/>
              <w:left w:val="single" w:sz="4" w:space="0" w:color="CCD9E7"/>
              <w:bottom w:val="single" w:sz="4" w:space="0" w:color="CCD9E7"/>
              <w:right w:val="single" w:sz="4" w:space="0" w:color="CCD9E7"/>
            </w:tcBorders>
            <w:shd w:val="clear" w:color="auto" w:fill="E9F2FF"/>
            <w:tcMar>
              <w:top w:w="115" w:type="dxa"/>
              <w:left w:w="145" w:type="dxa"/>
              <w:bottom w:w="115" w:type="dxa"/>
              <w:right w:w="145" w:type="dxa"/>
            </w:tcMar>
            <w:vAlign w:val="center"/>
          </w:tcPr>
          <w:p w14:paraId="00D88A97" w14:textId="77777777" w:rsidR="005C0C8A" w:rsidRDefault="00000000">
            <w:pPr>
              <w:bidi/>
              <w:spacing w:before="0" w:after="0" w:line="264" w:lineRule="auto"/>
              <w:jc w:val="right"/>
            </w:pPr>
            <w:r>
              <w:rPr>
                <w:rFonts w:ascii="Times New Roman" w:hAnsi="Times New Roman"/>
                <w:b/>
                <w:color w:val="000000"/>
                <w:sz w:val="24"/>
              </w:rPr>
              <w:t>النطاق الظاهر في المصادر</w:t>
            </w:r>
          </w:p>
        </w:tc>
        <w:tc>
          <w:tcPr>
            <w:tcW w:w="2256" w:type="dxa"/>
            <w:tcBorders>
              <w:top w:val="single" w:sz="4" w:space="0" w:color="CCD9E7"/>
              <w:left w:val="single" w:sz="4" w:space="0" w:color="CCD9E7"/>
              <w:bottom w:val="single" w:sz="4" w:space="0" w:color="CCD9E7"/>
              <w:right w:val="single" w:sz="4" w:space="0" w:color="CCD9E7"/>
            </w:tcBorders>
            <w:shd w:val="clear" w:color="auto" w:fill="E9F2FF"/>
            <w:tcMar>
              <w:top w:w="115" w:type="dxa"/>
              <w:left w:w="145" w:type="dxa"/>
              <w:bottom w:w="115" w:type="dxa"/>
              <w:right w:w="145" w:type="dxa"/>
            </w:tcMar>
            <w:vAlign w:val="center"/>
          </w:tcPr>
          <w:p w14:paraId="0E49798E" w14:textId="77777777" w:rsidR="005C0C8A" w:rsidRDefault="00000000">
            <w:pPr>
              <w:bidi/>
              <w:spacing w:before="0" w:after="0" w:line="264" w:lineRule="auto"/>
              <w:jc w:val="right"/>
            </w:pPr>
            <w:r>
              <w:rPr>
                <w:rFonts w:ascii="Times New Roman" w:hAnsi="Times New Roman"/>
                <w:b/>
                <w:color w:val="000000"/>
                <w:sz w:val="24"/>
              </w:rPr>
              <w:t>التقاطع مع المشروع</w:t>
            </w:r>
          </w:p>
        </w:tc>
        <w:tc>
          <w:tcPr>
            <w:tcW w:w="2256" w:type="dxa"/>
            <w:tcBorders>
              <w:top w:val="single" w:sz="4" w:space="0" w:color="CCD9E7"/>
              <w:left w:val="single" w:sz="4" w:space="0" w:color="CCD9E7"/>
              <w:bottom w:val="single" w:sz="4" w:space="0" w:color="CCD9E7"/>
              <w:right w:val="single" w:sz="4" w:space="0" w:color="CCD9E7"/>
            </w:tcBorders>
            <w:shd w:val="clear" w:color="auto" w:fill="E9F2FF"/>
            <w:tcMar>
              <w:top w:w="115" w:type="dxa"/>
              <w:left w:w="145" w:type="dxa"/>
              <w:bottom w:w="115" w:type="dxa"/>
              <w:right w:w="145" w:type="dxa"/>
            </w:tcMar>
            <w:vAlign w:val="center"/>
          </w:tcPr>
          <w:p w14:paraId="33C906FE" w14:textId="77777777" w:rsidR="005C0C8A" w:rsidRDefault="00000000">
            <w:pPr>
              <w:bidi/>
              <w:spacing w:before="0" w:after="0" w:line="264" w:lineRule="auto"/>
              <w:jc w:val="right"/>
            </w:pPr>
            <w:r>
              <w:rPr>
                <w:rFonts w:ascii="Times New Roman" w:hAnsi="Times New Roman"/>
                <w:b/>
                <w:color w:val="000000"/>
                <w:sz w:val="24"/>
              </w:rPr>
              <w:t>الفارق في التركيز</w:t>
            </w:r>
          </w:p>
        </w:tc>
      </w:tr>
      <w:tr w:rsidR="005C0C8A" w14:paraId="3F948664" w14:textId="77777777">
        <w:trPr>
          <w:cantSplit/>
          <w:jc w:val="center"/>
        </w:trPr>
        <w:tc>
          <w:tcPr>
            <w:tcW w:w="2256"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15A8A821" w14:textId="77777777" w:rsidR="005C0C8A" w:rsidRDefault="00000000">
            <w:pPr>
              <w:bidi/>
              <w:spacing w:before="0" w:after="0" w:line="264" w:lineRule="auto"/>
              <w:jc w:val="right"/>
            </w:pPr>
            <w:r>
              <w:rPr>
                <w:rFonts w:ascii="Times New Roman" w:hAnsi="Times New Roman"/>
                <w:color w:val="000000"/>
                <w:sz w:val="22"/>
              </w:rPr>
              <w:t>Medisafe</w:t>
            </w:r>
          </w:p>
        </w:tc>
        <w:tc>
          <w:tcPr>
            <w:tcW w:w="2256"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0246C838" w14:textId="77777777" w:rsidR="005C0C8A" w:rsidRDefault="00000000">
            <w:pPr>
              <w:bidi/>
              <w:spacing w:before="0" w:after="0" w:line="264" w:lineRule="auto"/>
              <w:jc w:val="right"/>
            </w:pPr>
            <w:r>
              <w:rPr>
                <w:rFonts w:ascii="Times New Roman" w:hAnsi="Times New Roman"/>
                <w:color w:val="000000"/>
                <w:sz w:val="22"/>
              </w:rPr>
              <w:t>إدارة الدواء وتذكيرات مخصصة ودعم الرحلة العلاجية</w:t>
            </w:r>
          </w:p>
        </w:tc>
        <w:tc>
          <w:tcPr>
            <w:tcW w:w="2256"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707BB1BB" w14:textId="77777777" w:rsidR="005C0C8A" w:rsidRDefault="00000000">
            <w:pPr>
              <w:bidi/>
              <w:spacing w:before="0" w:after="0" w:line="264" w:lineRule="auto"/>
              <w:jc w:val="right"/>
            </w:pPr>
            <w:r>
              <w:rPr>
                <w:rFonts w:ascii="Times New Roman" w:hAnsi="Times New Roman"/>
                <w:color w:val="000000"/>
                <w:sz w:val="22"/>
              </w:rPr>
              <w:t>الجرعات والتذكيرات</w:t>
            </w:r>
          </w:p>
        </w:tc>
        <w:tc>
          <w:tcPr>
            <w:tcW w:w="2256"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545E4547" w14:textId="77777777" w:rsidR="005C0C8A" w:rsidRDefault="00000000">
            <w:pPr>
              <w:bidi/>
              <w:spacing w:before="0" w:after="0" w:line="264" w:lineRule="auto"/>
              <w:jc w:val="right"/>
            </w:pPr>
            <w:r>
              <w:rPr>
                <w:rFonts w:ascii="Times New Roman" w:hAnsi="Times New Roman"/>
                <w:color w:val="000000"/>
                <w:sz w:val="22"/>
              </w:rPr>
              <w:t>منصتنا تربط أيضاً الطلب بمخزون الصيدلية والصرف محلياً.</w:t>
            </w:r>
          </w:p>
        </w:tc>
      </w:tr>
      <w:tr w:rsidR="005C0C8A" w14:paraId="4ACE3946" w14:textId="77777777">
        <w:trPr>
          <w:cantSplit/>
          <w:jc w:val="center"/>
        </w:trPr>
        <w:tc>
          <w:tcPr>
            <w:tcW w:w="2256"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3FF47CC0" w14:textId="77777777" w:rsidR="005C0C8A" w:rsidRDefault="00000000">
            <w:pPr>
              <w:bidi/>
              <w:spacing w:before="0" w:after="0" w:line="264" w:lineRule="auto"/>
              <w:jc w:val="right"/>
            </w:pPr>
            <w:r>
              <w:rPr>
                <w:rFonts w:ascii="Times New Roman" w:hAnsi="Times New Roman"/>
                <w:color w:val="000000"/>
                <w:sz w:val="22"/>
              </w:rPr>
              <w:t>MyTherapy</w:t>
            </w:r>
          </w:p>
        </w:tc>
        <w:tc>
          <w:tcPr>
            <w:tcW w:w="2256"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2162A419" w14:textId="77777777" w:rsidR="005C0C8A" w:rsidRDefault="00000000">
            <w:pPr>
              <w:bidi/>
              <w:spacing w:before="0" w:after="0" w:line="264" w:lineRule="auto"/>
              <w:jc w:val="right"/>
            </w:pPr>
            <w:r>
              <w:rPr>
                <w:rFonts w:ascii="Times New Roman" w:hAnsi="Times New Roman"/>
                <w:color w:val="000000"/>
                <w:sz w:val="22"/>
              </w:rPr>
              <w:t>تذكير بالأدوية وتوثيق تناولها وتجديد المخزون</w:t>
            </w:r>
          </w:p>
        </w:tc>
        <w:tc>
          <w:tcPr>
            <w:tcW w:w="2256"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603E1E75" w14:textId="77777777" w:rsidR="005C0C8A" w:rsidRDefault="00000000">
            <w:pPr>
              <w:bidi/>
              <w:spacing w:before="0" w:after="0" w:line="264" w:lineRule="auto"/>
              <w:jc w:val="right"/>
            </w:pPr>
            <w:r>
              <w:rPr>
                <w:rFonts w:ascii="Times New Roman" w:hAnsi="Times New Roman"/>
                <w:color w:val="000000"/>
                <w:sz w:val="22"/>
              </w:rPr>
              <w:t>التذكير وسجل الجرعات</w:t>
            </w:r>
          </w:p>
        </w:tc>
        <w:tc>
          <w:tcPr>
            <w:tcW w:w="2256"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4A23645E" w14:textId="77777777" w:rsidR="005C0C8A" w:rsidRDefault="00000000">
            <w:pPr>
              <w:bidi/>
              <w:spacing w:before="0" w:after="0" w:line="264" w:lineRule="auto"/>
              <w:jc w:val="right"/>
            </w:pPr>
            <w:r>
              <w:rPr>
                <w:rFonts w:ascii="Times New Roman" w:hAnsi="Times New Roman"/>
                <w:color w:val="000000"/>
                <w:sz w:val="22"/>
              </w:rPr>
              <w:t>منصتنا تتضمن إدارة صيدليات وطلبات ومخزوناً تشغيلياً.</w:t>
            </w:r>
          </w:p>
        </w:tc>
      </w:tr>
      <w:tr w:rsidR="005C0C8A" w14:paraId="1A18328E" w14:textId="77777777">
        <w:trPr>
          <w:cantSplit/>
          <w:jc w:val="center"/>
        </w:trPr>
        <w:tc>
          <w:tcPr>
            <w:tcW w:w="2256"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64780513" w14:textId="77777777" w:rsidR="005C0C8A" w:rsidRDefault="00000000">
            <w:pPr>
              <w:bidi/>
              <w:spacing w:before="0" w:after="0" w:line="264" w:lineRule="auto"/>
              <w:jc w:val="right"/>
            </w:pPr>
            <w:r>
              <w:rPr>
                <w:rFonts w:ascii="Times New Roman" w:hAnsi="Times New Roman"/>
                <w:color w:val="000000"/>
                <w:sz w:val="22"/>
              </w:rPr>
              <w:t>GoodRx</w:t>
            </w:r>
          </w:p>
        </w:tc>
        <w:tc>
          <w:tcPr>
            <w:tcW w:w="2256"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6B679127" w14:textId="77777777" w:rsidR="005C0C8A" w:rsidRDefault="00000000">
            <w:pPr>
              <w:bidi/>
              <w:spacing w:before="0" w:after="0" w:line="264" w:lineRule="auto"/>
              <w:jc w:val="right"/>
            </w:pPr>
            <w:r>
              <w:rPr>
                <w:rFonts w:ascii="Times New Roman" w:hAnsi="Times New Roman"/>
                <w:color w:val="000000"/>
                <w:sz w:val="22"/>
              </w:rPr>
              <w:t>البحث عن أسعار الأدوية ومقارنتها بين صيدليات قريبة</w:t>
            </w:r>
          </w:p>
        </w:tc>
        <w:tc>
          <w:tcPr>
            <w:tcW w:w="2256"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7F386A8B" w14:textId="77777777" w:rsidR="005C0C8A" w:rsidRDefault="00000000">
            <w:pPr>
              <w:bidi/>
              <w:spacing w:before="0" w:after="0" w:line="264" w:lineRule="auto"/>
              <w:jc w:val="right"/>
            </w:pPr>
            <w:r>
              <w:rPr>
                <w:rFonts w:ascii="Times New Roman" w:hAnsi="Times New Roman"/>
                <w:color w:val="000000"/>
                <w:sz w:val="22"/>
              </w:rPr>
              <w:t>الاستعلام عن الدواء والصيدلية والسعر</w:t>
            </w:r>
          </w:p>
        </w:tc>
        <w:tc>
          <w:tcPr>
            <w:tcW w:w="2256"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325C4D8F" w14:textId="77777777" w:rsidR="005C0C8A" w:rsidRDefault="00000000">
            <w:pPr>
              <w:bidi/>
              <w:spacing w:before="0" w:after="0" w:line="264" w:lineRule="auto"/>
              <w:jc w:val="right"/>
            </w:pPr>
            <w:r>
              <w:rPr>
                <w:rFonts w:ascii="Times New Roman" w:hAnsi="Times New Roman"/>
                <w:color w:val="000000"/>
                <w:sz w:val="22"/>
              </w:rPr>
              <w:t>منصتنا تضع كذلك مسار طلب وصرف وسجل جرعات للمريض.</w:t>
            </w:r>
          </w:p>
        </w:tc>
      </w:tr>
      <w:tr w:rsidR="005C0C8A" w14:paraId="6CCA9FC9" w14:textId="77777777">
        <w:trPr>
          <w:cantSplit/>
          <w:jc w:val="center"/>
        </w:trPr>
        <w:tc>
          <w:tcPr>
            <w:tcW w:w="2256"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2D582FA1" w14:textId="77777777" w:rsidR="005C0C8A" w:rsidRDefault="00000000">
            <w:pPr>
              <w:bidi/>
              <w:spacing w:before="0" w:after="0" w:line="264" w:lineRule="auto"/>
              <w:jc w:val="right"/>
            </w:pPr>
            <w:r>
              <w:rPr>
                <w:rFonts w:ascii="Times New Roman" w:hAnsi="Times New Roman"/>
                <w:color w:val="000000"/>
                <w:sz w:val="22"/>
              </w:rPr>
              <w:t>المشروع الحالي</w:t>
            </w:r>
          </w:p>
        </w:tc>
        <w:tc>
          <w:tcPr>
            <w:tcW w:w="2256"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2B27F640" w14:textId="77777777" w:rsidR="005C0C8A" w:rsidRDefault="00000000">
            <w:pPr>
              <w:bidi/>
              <w:spacing w:before="0" w:after="0" w:line="264" w:lineRule="auto"/>
              <w:jc w:val="right"/>
            </w:pPr>
            <w:r>
              <w:rPr>
                <w:rFonts w:ascii="Times New Roman" w:hAnsi="Times New Roman"/>
                <w:color w:val="000000"/>
                <w:sz w:val="22"/>
              </w:rPr>
              <w:t>بحث جغرافي، مخزون، طلبات، صرف، سجل دوائي، جرعات، إشعارات</w:t>
            </w:r>
          </w:p>
        </w:tc>
        <w:tc>
          <w:tcPr>
            <w:tcW w:w="2256"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371EC905" w14:textId="77777777" w:rsidR="005C0C8A" w:rsidRDefault="00000000">
            <w:pPr>
              <w:bidi/>
              <w:spacing w:before="0" w:after="0" w:line="264" w:lineRule="auto"/>
              <w:jc w:val="right"/>
            </w:pPr>
            <w:r>
              <w:rPr>
                <w:rFonts w:ascii="Times New Roman" w:hAnsi="Times New Roman"/>
                <w:color w:val="000000"/>
                <w:sz w:val="22"/>
              </w:rPr>
              <w:t>الجمع بين المحاور الثلاثة</w:t>
            </w:r>
          </w:p>
        </w:tc>
        <w:tc>
          <w:tcPr>
            <w:tcW w:w="2256"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3312A181" w14:textId="77777777" w:rsidR="005C0C8A" w:rsidRDefault="00000000">
            <w:pPr>
              <w:bidi/>
              <w:spacing w:before="0" w:after="0" w:line="264" w:lineRule="auto"/>
              <w:jc w:val="right"/>
            </w:pPr>
            <w:r>
              <w:rPr>
                <w:rFonts w:ascii="Times New Roman" w:hAnsi="Times New Roman"/>
                <w:color w:val="000000"/>
                <w:sz w:val="22"/>
              </w:rPr>
              <w:t>تخصيص السوق السورية؛ الحاجة لاحقاً إلى تقييم فعلي للأداء والتجربة.</w:t>
            </w:r>
          </w:p>
        </w:tc>
      </w:tr>
    </w:tbl>
    <w:p w14:paraId="3460DEA0" w14:textId="77777777" w:rsidR="005C0C8A" w:rsidRDefault="005C0C8A"/>
    <w:p w14:paraId="03497CAA" w14:textId="77777777" w:rsidR="005C0C8A" w:rsidRDefault="00000000">
      <w:pPr>
        <w:pStyle w:val="21"/>
        <w:bidi/>
        <w:jc w:val="right"/>
      </w:pPr>
      <w:r>
        <w:rPr>
          <w:rFonts w:ascii="Times New Roman" w:eastAsia="Simplified Arabic" w:hAnsi="Times New Roman" w:cs="Simplified Arabic"/>
        </w:rPr>
        <w:t>4. الفجوة والحل المقترح</w:t>
      </w:r>
    </w:p>
    <w:p w14:paraId="354045BF" w14:textId="77777777" w:rsidR="005C0C8A" w:rsidRDefault="00000000">
      <w:pPr>
        <w:bidi/>
        <w:spacing w:after="120"/>
        <w:jc w:val="both"/>
      </w:pPr>
      <w:r>
        <w:rPr>
          <w:rFonts w:ascii="Times New Roman" w:hAnsi="Times New Roman"/>
          <w:color w:val="000000"/>
        </w:rPr>
        <w:t xml:space="preserve">من المقارنة يتبين أن مجالات دعم الالتزام العلاجي، وإتاحة أسعار الدواء، وإظهار توافره في الصيدليات قد حظيت بحلول بحثية وتجارية مختلفة. ويتمثل التمايز المستهدف في هذا المشروع في بناء مسار متصل وموجّه للسوق السورية يجمع كتالوجاً محلياً للدواء، والمخزون المتاح للصيدليات، والبحث </w:t>
      </w:r>
      <w:r>
        <w:rPr>
          <w:rFonts w:ascii="Times New Roman" w:hAnsi="Times New Roman"/>
          <w:color w:val="000000"/>
        </w:rPr>
        <w:lastRenderedPageBreak/>
        <w:t>الجغرافي، وطلب الدواء أو وصفته، وتوثيق الصرف، ثم إدراج الدواء في سجل المريض وجدولة جرعاته. هذه فجوة تكامل تطبيقي ضمن نطاق المشروع، وليست ادعاءً بعدم وجود منصة مشابهة عالمياً أو بابتكار طبي جديد.</w:t>
      </w:r>
    </w:p>
    <w:p w14:paraId="7DC08EDF" w14:textId="77777777" w:rsidR="005C0C8A" w:rsidRDefault="00000000">
      <w:pPr>
        <w:pStyle w:val="1"/>
        <w:pBdr>
          <w:bottom w:val="single" w:sz="14" w:space="7" w:color="1A68D1"/>
        </w:pBdr>
        <w:bidi/>
        <w:spacing w:after="160"/>
        <w:jc w:val="right"/>
      </w:pPr>
      <w:r>
        <w:rPr>
          <w:rFonts w:ascii="Times New Roman" w:eastAsia="Simplified Arabic" w:hAnsi="Times New Roman" w:cs="Simplified Arabic"/>
        </w:rPr>
        <w:t>ثالثاً: فكرة الحل المقترح ومخطط سير العمل (Flowchart)</w:t>
      </w:r>
    </w:p>
    <w:p w14:paraId="5F35F3BA" w14:textId="77777777" w:rsidR="005C0C8A" w:rsidRDefault="00000000">
      <w:pPr>
        <w:pStyle w:val="21"/>
        <w:bidi/>
        <w:jc w:val="right"/>
      </w:pPr>
      <w:r>
        <w:rPr>
          <w:rFonts w:ascii="Times New Roman" w:eastAsia="Simplified Arabic" w:hAnsi="Times New Roman" w:cs="Simplified Arabic"/>
        </w:rPr>
        <w:t>1. وصف الحل المقترح</w:t>
      </w:r>
    </w:p>
    <w:p w14:paraId="33D40402" w14:textId="77777777" w:rsidR="005C0C8A" w:rsidRDefault="00000000">
      <w:pPr>
        <w:bidi/>
        <w:spacing w:after="120"/>
        <w:jc w:val="both"/>
      </w:pPr>
      <w:r>
        <w:rPr>
          <w:rFonts w:ascii="Times New Roman" w:hAnsi="Times New Roman"/>
          <w:color w:val="000000"/>
        </w:rPr>
        <w:t>يتفاعل المريض مع واجهة واحدة، بينما توزّع البوابة الطلبات على خدمات مستقلة، كل واحدة مسؤولة عن مجال محدد وبياناته. تبدأ رحلة المستخدم بالبحث عن دواء في كتالوج مركزي، ثم عرض الصيدليات التي تبيعه أو البدائل التي تتطابق في التركيبة وفق المعايير المعرفة في النظام. يمكن إنشاء طلب مباشر أو إرسال صورة وصفة للمراجعة، وتدير الصيدلية حالة الطلب والمخزون. وبعد اكتمال الصرف يُرسل حدث لإضافة الدواء إلى السجل الصحي، ويُهيّأ جدول جرعات مقترح إذا أدخله الصيدلي، ثم تعرض خدمة الإشعارات التنبيهات.</w:t>
      </w:r>
    </w:p>
    <w:p w14:paraId="67AA879B" w14:textId="77777777" w:rsidR="005C0C8A" w:rsidRDefault="00000000">
      <w:pPr>
        <w:bidi/>
        <w:spacing w:after="120"/>
        <w:jc w:val="both"/>
      </w:pPr>
      <w:r>
        <w:rPr>
          <w:rFonts w:ascii="Times New Roman" w:hAnsi="Times New Roman"/>
          <w:color w:val="000000"/>
        </w:rPr>
        <w:t>يُعامل عرض الوصفة المصوّرة باعتباره خطوة مراجعة من الصيدلية ثم موافقة المريض على الأصناف المعروضة؛ ولا يُحجز مخزون تلقائياً لمجرد عرض السعر أو الموافقة على العرض. ويُنفذ خصم الكمية عند انتقال الطلب إلى حالة الصرف.</w:t>
      </w:r>
    </w:p>
    <w:p w14:paraId="14213F12" w14:textId="77777777" w:rsidR="005C0C8A" w:rsidRDefault="00000000">
      <w:pPr>
        <w:pStyle w:val="21"/>
        <w:bidi/>
        <w:jc w:val="right"/>
      </w:pPr>
      <w:r>
        <w:rPr>
          <w:rFonts w:ascii="Times New Roman" w:eastAsia="Simplified Arabic" w:hAnsi="Times New Roman" w:cs="Simplified Arabic"/>
        </w:rPr>
        <w:lastRenderedPageBreak/>
        <w:t>2. مخطط سير العمل (Flowchart)</w:t>
      </w:r>
    </w:p>
    <w:p w14:paraId="5A7D4F62" w14:textId="77777777" w:rsidR="005C0C8A" w:rsidRDefault="00000000">
      <w:pPr>
        <w:keepNext/>
        <w:bidi/>
        <w:spacing w:after="80"/>
        <w:jc w:val="center"/>
      </w:pPr>
      <w:r>
        <w:rPr>
          <w:noProof/>
        </w:rPr>
        <w:drawing>
          <wp:inline distT="0" distB="0" distL="0" distR="0" wp14:anchorId="53267D5B" wp14:editId="06A3DE09">
            <wp:extent cx="4428000" cy="5563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ed_brand_flowchart.png"/>
                    <pic:cNvPicPr/>
                  </pic:nvPicPr>
                  <pic:blipFill>
                    <a:blip r:embed="rId9"/>
                    <a:stretch>
                      <a:fillRect/>
                    </a:stretch>
                  </pic:blipFill>
                  <pic:spPr>
                    <a:xfrm>
                      <a:off x="0" y="0"/>
                      <a:ext cx="4428000" cy="5563385"/>
                    </a:xfrm>
                    <a:prstGeom prst="rect">
                      <a:avLst/>
                    </a:prstGeom>
                  </pic:spPr>
                </pic:pic>
              </a:graphicData>
            </a:graphic>
          </wp:inline>
        </w:drawing>
      </w:r>
    </w:p>
    <w:p w14:paraId="145B4523" w14:textId="77777777" w:rsidR="005C0C8A" w:rsidRDefault="00000000">
      <w:pPr>
        <w:bidi/>
        <w:spacing w:before="40" w:after="160"/>
        <w:jc w:val="center"/>
      </w:pPr>
      <w:r>
        <w:rPr>
          <w:rFonts w:ascii="Times New Roman" w:hAnsi="Times New Roman"/>
          <w:b/>
          <w:sz w:val="24"/>
        </w:rPr>
        <w:t>شكل 1. المسار الوظيفي الرئيسي للبحث والطلب والصرف والتذكيرات</w:t>
      </w:r>
    </w:p>
    <w:p w14:paraId="0C77FDB9" w14:textId="77777777" w:rsidR="005C0C8A" w:rsidRDefault="00000000">
      <w:pPr>
        <w:bidi/>
        <w:spacing w:after="120"/>
        <w:jc w:val="both"/>
      </w:pPr>
      <w:r>
        <w:rPr>
          <w:rFonts w:ascii="Times New Roman" w:hAnsi="Times New Roman"/>
          <w:color w:val="000000"/>
        </w:rPr>
        <w:t>يمثل المخطط السيناريو الرئيسي. توجد مسارات أخرى للرفض والإلغاء ونقص الكمية، إضافة إلى مراحل الموافقة على عرض الوصفة، وقد اختُصرت هنا لصالح وضوح الشكل.</w:t>
      </w:r>
    </w:p>
    <w:p w14:paraId="724D69E9" w14:textId="77777777" w:rsidR="005C0C8A" w:rsidRDefault="00000000">
      <w:pPr>
        <w:pStyle w:val="21"/>
        <w:bidi/>
        <w:jc w:val="right"/>
      </w:pPr>
      <w:r>
        <w:rPr>
          <w:rFonts w:ascii="Times New Roman" w:eastAsia="Simplified Arabic" w:hAnsi="Times New Roman" w:cs="Simplified Arabic"/>
        </w:rPr>
        <w:t>3. البنية العامة للخدمات</w:t>
      </w:r>
    </w:p>
    <w:tbl>
      <w:tblPr>
        <w:tblStyle w:val="afa"/>
        <w:tblW w:w="0" w:type="auto"/>
        <w:jc w:val="center"/>
        <w:tblLayout w:type="fixed"/>
        <w:tblLook w:val="04A0" w:firstRow="1" w:lastRow="0" w:firstColumn="1" w:lastColumn="0" w:noHBand="0" w:noVBand="1"/>
      </w:tblPr>
      <w:tblGrid>
        <w:gridCol w:w="4513"/>
        <w:gridCol w:w="4513"/>
      </w:tblGrid>
      <w:tr w:rsidR="005C0C8A" w14:paraId="4A5A36C4" w14:textId="77777777">
        <w:trPr>
          <w:cantSplit/>
          <w:tblHeader/>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E9F2FF"/>
            <w:tcMar>
              <w:top w:w="115" w:type="dxa"/>
              <w:left w:w="145" w:type="dxa"/>
              <w:bottom w:w="115" w:type="dxa"/>
              <w:right w:w="145" w:type="dxa"/>
            </w:tcMar>
            <w:vAlign w:val="center"/>
          </w:tcPr>
          <w:p w14:paraId="1EE50955" w14:textId="77777777" w:rsidR="005C0C8A" w:rsidRDefault="00000000">
            <w:pPr>
              <w:bidi/>
              <w:spacing w:before="0" w:after="0" w:line="264" w:lineRule="auto"/>
              <w:jc w:val="right"/>
            </w:pPr>
            <w:r>
              <w:rPr>
                <w:rFonts w:ascii="Times New Roman" w:hAnsi="Times New Roman"/>
                <w:b/>
                <w:color w:val="000000"/>
                <w:sz w:val="24"/>
              </w:rPr>
              <w:t>الخدمة</w:t>
            </w:r>
          </w:p>
        </w:tc>
        <w:tc>
          <w:tcPr>
            <w:tcW w:w="4513" w:type="dxa"/>
            <w:tcBorders>
              <w:top w:val="single" w:sz="4" w:space="0" w:color="CCD9E7"/>
              <w:left w:val="single" w:sz="4" w:space="0" w:color="CCD9E7"/>
              <w:bottom w:val="single" w:sz="4" w:space="0" w:color="CCD9E7"/>
              <w:right w:val="single" w:sz="4" w:space="0" w:color="CCD9E7"/>
            </w:tcBorders>
            <w:shd w:val="clear" w:color="auto" w:fill="E9F2FF"/>
            <w:tcMar>
              <w:top w:w="115" w:type="dxa"/>
              <w:left w:w="145" w:type="dxa"/>
              <w:bottom w:w="115" w:type="dxa"/>
              <w:right w:w="145" w:type="dxa"/>
            </w:tcMar>
            <w:vAlign w:val="center"/>
          </w:tcPr>
          <w:p w14:paraId="53A3B4C1" w14:textId="77777777" w:rsidR="005C0C8A" w:rsidRDefault="00000000">
            <w:pPr>
              <w:bidi/>
              <w:spacing w:before="0" w:after="0" w:line="264" w:lineRule="auto"/>
              <w:jc w:val="right"/>
            </w:pPr>
            <w:r>
              <w:rPr>
                <w:rFonts w:ascii="Times New Roman" w:hAnsi="Times New Roman"/>
                <w:b/>
                <w:color w:val="000000"/>
                <w:sz w:val="24"/>
              </w:rPr>
              <w:t>مسؤوليتها في الإصدار الحالي</w:t>
            </w:r>
          </w:p>
        </w:tc>
      </w:tr>
      <w:tr w:rsidR="005C0C8A" w14:paraId="72CC400A"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01F3D134" w14:textId="77777777" w:rsidR="005C0C8A" w:rsidRDefault="00000000">
            <w:pPr>
              <w:bidi/>
              <w:spacing w:before="0" w:after="0" w:line="264" w:lineRule="auto"/>
              <w:jc w:val="right"/>
            </w:pPr>
            <w:r>
              <w:rPr>
                <w:rFonts w:ascii="Times New Roman" w:hAnsi="Times New Roman"/>
                <w:color w:val="000000"/>
                <w:sz w:val="22"/>
              </w:rPr>
              <w:t>Auth Service</w:t>
            </w:r>
          </w:p>
        </w:tc>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01AD5CC2" w14:textId="77777777" w:rsidR="005C0C8A" w:rsidRDefault="00000000">
            <w:pPr>
              <w:bidi/>
              <w:spacing w:before="0" w:after="0" w:line="264" w:lineRule="auto"/>
              <w:jc w:val="right"/>
            </w:pPr>
            <w:r>
              <w:rPr>
                <w:rFonts w:ascii="Times New Roman" w:hAnsi="Times New Roman"/>
                <w:color w:val="000000"/>
                <w:sz w:val="22"/>
              </w:rPr>
              <w:t>التسجيل والمصادقة وأدوار المستخدمين وملف المريض</w:t>
            </w:r>
          </w:p>
        </w:tc>
      </w:tr>
      <w:tr w:rsidR="005C0C8A" w14:paraId="5AE6A732"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20C1AE00" w14:textId="77777777" w:rsidR="005C0C8A" w:rsidRDefault="00000000">
            <w:pPr>
              <w:bidi/>
              <w:spacing w:before="0" w:after="0" w:line="264" w:lineRule="auto"/>
              <w:jc w:val="right"/>
            </w:pPr>
            <w:r>
              <w:rPr>
                <w:rFonts w:ascii="Times New Roman" w:hAnsi="Times New Roman"/>
                <w:color w:val="000000"/>
                <w:sz w:val="22"/>
              </w:rPr>
              <w:t>Pharmacy Service</w:t>
            </w:r>
          </w:p>
        </w:tc>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413CF743" w14:textId="77777777" w:rsidR="005C0C8A" w:rsidRDefault="00000000">
            <w:pPr>
              <w:bidi/>
              <w:spacing w:before="0" w:after="0" w:line="264" w:lineRule="auto"/>
              <w:jc w:val="right"/>
            </w:pPr>
            <w:r>
              <w:rPr>
                <w:rFonts w:ascii="Times New Roman" w:hAnsi="Times New Roman"/>
                <w:color w:val="000000"/>
                <w:sz w:val="22"/>
              </w:rPr>
              <w:t>إدارة الصيدليات واعتمادها ودوامها ومخزونها والبحث الجغرافي</w:t>
            </w:r>
          </w:p>
        </w:tc>
      </w:tr>
      <w:tr w:rsidR="005C0C8A" w14:paraId="04D9CD33"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5DA90B8B" w14:textId="77777777" w:rsidR="005C0C8A" w:rsidRDefault="00000000">
            <w:pPr>
              <w:bidi/>
              <w:spacing w:before="0" w:after="0" w:line="264" w:lineRule="auto"/>
              <w:jc w:val="right"/>
            </w:pPr>
            <w:r>
              <w:rPr>
                <w:rFonts w:ascii="Times New Roman" w:hAnsi="Times New Roman"/>
                <w:color w:val="000000"/>
                <w:sz w:val="22"/>
              </w:rPr>
              <w:lastRenderedPageBreak/>
              <w:t>Medication Service</w:t>
            </w:r>
          </w:p>
        </w:tc>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392CC04B" w14:textId="77777777" w:rsidR="005C0C8A" w:rsidRDefault="00000000">
            <w:pPr>
              <w:bidi/>
              <w:spacing w:before="0" w:after="0" w:line="264" w:lineRule="auto"/>
              <w:jc w:val="right"/>
            </w:pPr>
            <w:r>
              <w:rPr>
                <w:rFonts w:ascii="Times New Roman" w:hAnsi="Times New Roman"/>
                <w:color w:val="000000"/>
                <w:sz w:val="22"/>
              </w:rPr>
              <w:t>كتالوج الأدوية ومطابقة التركيبة وطلبات إدراج الأدوية</w:t>
            </w:r>
          </w:p>
        </w:tc>
      </w:tr>
      <w:tr w:rsidR="005C0C8A" w14:paraId="3A404444"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32A1C9BC" w14:textId="77777777" w:rsidR="005C0C8A" w:rsidRDefault="00000000">
            <w:pPr>
              <w:bidi/>
              <w:spacing w:before="0" w:after="0" w:line="264" w:lineRule="auto"/>
              <w:jc w:val="right"/>
            </w:pPr>
            <w:r>
              <w:rPr>
                <w:rFonts w:ascii="Times New Roman" w:hAnsi="Times New Roman"/>
                <w:color w:val="000000"/>
                <w:sz w:val="22"/>
              </w:rPr>
              <w:t>Order Service</w:t>
            </w:r>
          </w:p>
        </w:tc>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03C51195" w14:textId="77777777" w:rsidR="005C0C8A" w:rsidRDefault="00000000">
            <w:pPr>
              <w:bidi/>
              <w:spacing w:before="0" w:after="0" w:line="264" w:lineRule="auto"/>
              <w:jc w:val="right"/>
            </w:pPr>
            <w:r>
              <w:rPr>
                <w:rFonts w:ascii="Times New Roman" w:hAnsi="Times New Roman"/>
                <w:color w:val="000000"/>
                <w:sz w:val="22"/>
              </w:rPr>
              <w:t>الطلبات والوصفات المصورة والمراسلات وحالات الصرف</w:t>
            </w:r>
          </w:p>
        </w:tc>
      </w:tr>
      <w:tr w:rsidR="005C0C8A" w14:paraId="7395D501"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4E87B4F3" w14:textId="77777777" w:rsidR="005C0C8A" w:rsidRDefault="00000000">
            <w:pPr>
              <w:bidi/>
              <w:spacing w:before="0" w:after="0" w:line="264" w:lineRule="auto"/>
              <w:jc w:val="right"/>
            </w:pPr>
            <w:r>
              <w:rPr>
                <w:rFonts w:ascii="Times New Roman" w:hAnsi="Times New Roman"/>
                <w:color w:val="000000"/>
                <w:sz w:val="22"/>
              </w:rPr>
              <w:t>Health Service</w:t>
            </w:r>
          </w:p>
        </w:tc>
        <w:tc>
          <w:tcPr>
            <w:tcW w:w="4513" w:type="dxa"/>
            <w:tcBorders>
              <w:top w:val="single" w:sz="4" w:space="0" w:color="CCD9E7"/>
              <w:left w:val="single" w:sz="4" w:space="0" w:color="CCD9E7"/>
              <w:bottom w:val="single" w:sz="4" w:space="0" w:color="CCD9E7"/>
              <w:right w:val="single" w:sz="4" w:space="0" w:color="CCD9E7"/>
            </w:tcBorders>
            <w:shd w:val="clear" w:color="auto" w:fill="FFFFFF"/>
            <w:tcMar>
              <w:top w:w="115" w:type="dxa"/>
              <w:left w:w="145" w:type="dxa"/>
              <w:bottom w:w="115" w:type="dxa"/>
              <w:right w:w="145" w:type="dxa"/>
            </w:tcMar>
            <w:vAlign w:val="center"/>
          </w:tcPr>
          <w:p w14:paraId="4735BCB9" w14:textId="77777777" w:rsidR="005C0C8A" w:rsidRDefault="00000000">
            <w:pPr>
              <w:bidi/>
              <w:spacing w:before="0" w:after="0" w:line="264" w:lineRule="auto"/>
              <w:jc w:val="right"/>
            </w:pPr>
            <w:r>
              <w:rPr>
                <w:rFonts w:ascii="Times New Roman" w:hAnsi="Times New Roman"/>
                <w:color w:val="000000"/>
                <w:sz w:val="22"/>
              </w:rPr>
              <w:t>السجل الدوائي وجداول الجرعات وتسجيل الجرعات المستحقة</w:t>
            </w:r>
          </w:p>
        </w:tc>
      </w:tr>
      <w:tr w:rsidR="005C0C8A" w14:paraId="5B4DFBAA" w14:textId="77777777">
        <w:trPr>
          <w:cantSplit/>
          <w:jc w:val="center"/>
        </w:trPr>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5619725C" w14:textId="77777777" w:rsidR="005C0C8A" w:rsidRDefault="00000000">
            <w:pPr>
              <w:bidi/>
              <w:spacing w:before="0" w:after="0" w:line="264" w:lineRule="auto"/>
              <w:jc w:val="right"/>
            </w:pPr>
            <w:r>
              <w:rPr>
                <w:rFonts w:ascii="Times New Roman" w:hAnsi="Times New Roman"/>
                <w:color w:val="000000"/>
                <w:sz w:val="22"/>
              </w:rPr>
              <w:t>Notification Service</w:t>
            </w:r>
          </w:p>
        </w:tc>
        <w:tc>
          <w:tcPr>
            <w:tcW w:w="4513" w:type="dxa"/>
            <w:tcBorders>
              <w:top w:val="single" w:sz="4" w:space="0" w:color="CCD9E7"/>
              <w:left w:val="single" w:sz="4" w:space="0" w:color="CCD9E7"/>
              <w:bottom w:val="single" w:sz="4" w:space="0" w:color="CCD9E7"/>
              <w:right w:val="single" w:sz="4" w:space="0" w:color="CCD9E7"/>
            </w:tcBorders>
            <w:shd w:val="clear" w:color="auto" w:fill="F5F8FC"/>
            <w:tcMar>
              <w:top w:w="115" w:type="dxa"/>
              <w:left w:w="145" w:type="dxa"/>
              <w:bottom w:w="115" w:type="dxa"/>
              <w:right w:w="145" w:type="dxa"/>
            </w:tcMar>
            <w:vAlign w:val="center"/>
          </w:tcPr>
          <w:p w14:paraId="29451BF3" w14:textId="77777777" w:rsidR="005C0C8A" w:rsidRDefault="00000000">
            <w:pPr>
              <w:bidi/>
              <w:spacing w:before="0" w:after="0" w:line="264" w:lineRule="auto"/>
              <w:jc w:val="right"/>
            </w:pPr>
            <w:r>
              <w:rPr>
                <w:rFonts w:ascii="Times New Roman" w:hAnsi="Times New Roman"/>
                <w:color w:val="000000"/>
                <w:sz w:val="22"/>
              </w:rPr>
              <w:t>توليد الإشعارات الواردة من أحداث الخدمات</w:t>
            </w:r>
          </w:p>
        </w:tc>
      </w:tr>
    </w:tbl>
    <w:p w14:paraId="59BC800C" w14:textId="77777777" w:rsidR="005C0C8A" w:rsidRDefault="005C0C8A"/>
    <w:p w14:paraId="2F893DA7" w14:textId="77777777" w:rsidR="005C0C8A" w:rsidRDefault="00000000">
      <w:pPr>
        <w:bidi/>
        <w:spacing w:after="120"/>
        <w:jc w:val="both"/>
      </w:pPr>
      <w:r>
        <w:rPr>
          <w:rFonts w:ascii="Times New Roman" w:hAnsi="Times New Roman"/>
          <w:color w:val="000000"/>
        </w:rPr>
        <w:t>يتصل المتصفح مع بوابة محلية موحدة لمسارات واجهة البرمجة، بينما تستخدم الخدمات تبادلاً متزامناً محدوداً عبر HTTP عند الحاجة إلى إجابة مباشرة، وأحداثاً محفوظة في Outbox ثم مستهلكة في Inbox للآثار اللاحقة.</w:t>
      </w:r>
    </w:p>
    <w:p w14:paraId="3F0EFBB8" w14:textId="77777777" w:rsidR="005C0C8A" w:rsidRDefault="00000000">
      <w:pPr>
        <w:pStyle w:val="1"/>
        <w:pBdr>
          <w:bottom w:val="single" w:sz="14" w:space="7" w:color="1A68D1"/>
        </w:pBdr>
        <w:bidi/>
        <w:spacing w:after="160"/>
        <w:jc w:val="right"/>
      </w:pPr>
      <w:r>
        <w:rPr>
          <w:rFonts w:ascii="Times New Roman" w:eastAsia="Simplified Arabic" w:hAnsi="Times New Roman" w:cs="Simplified Arabic"/>
        </w:rPr>
        <w:t>رابعاً: الفصل الأول - الدراسة النظرية التي يستند إليها المشروع</w:t>
      </w:r>
    </w:p>
    <w:p w14:paraId="3CDBA9B2" w14:textId="77777777" w:rsidR="005C0C8A" w:rsidRDefault="00000000">
      <w:pPr>
        <w:pStyle w:val="21"/>
        <w:bidi/>
        <w:jc w:val="right"/>
      </w:pPr>
      <w:r>
        <w:rPr>
          <w:rFonts w:ascii="Times New Roman" w:eastAsia="Simplified Arabic" w:hAnsi="Times New Roman" w:cs="Simplified Arabic"/>
        </w:rPr>
        <w:t>1-1. تمهيد</w:t>
      </w:r>
    </w:p>
    <w:p w14:paraId="5209E210" w14:textId="77777777" w:rsidR="005C0C8A" w:rsidRDefault="00000000">
      <w:pPr>
        <w:bidi/>
        <w:spacing w:after="120"/>
        <w:jc w:val="both"/>
      </w:pPr>
      <w:r>
        <w:rPr>
          <w:rFonts w:ascii="Times New Roman" w:hAnsi="Times New Roman"/>
          <w:color w:val="000000"/>
        </w:rPr>
        <w:t>يركز هذا الفصل على المفاهيم الحاسوبية اللازمة لفهم تصميم المنصة وتنفيذها، وليس على وصف واجهات النظام وحدها. تشمل المفاهيم تطبيقات الويب متعددة الأدوار، وبنية الخدمات المصغرة، وتخزين البيانات العلائقي، والأمن والتفويض، والتواصل الموثوق بين الخدمات، وخوارزميات مطابقة الأدوية والتذكيرات والموقع الجغرافي.</w:t>
      </w:r>
    </w:p>
    <w:p w14:paraId="603255D4" w14:textId="77777777" w:rsidR="005C0C8A" w:rsidRDefault="00000000">
      <w:pPr>
        <w:pStyle w:val="21"/>
        <w:bidi/>
        <w:jc w:val="right"/>
      </w:pPr>
      <w:r>
        <w:rPr>
          <w:rFonts w:ascii="Times New Roman" w:eastAsia="Simplified Arabic" w:hAnsi="Times New Roman" w:cs="Simplified Arabic"/>
        </w:rPr>
        <w:t>1-2. تطبيقات الويب وواجهات البرمجة</w:t>
      </w:r>
    </w:p>
    <w:p w14:paraId="061393F0" w14:textId="77777777" w:rsidR="005C0C8A" w:rsidRDefault="00000000">
      <w:pPr>
        <w:bidi/>
        <w:spacing w:after="120"/>
        <w:jc w:val="both"/>
      </w:pPr>
      <w:r>
        <w:rPr>
          <w:rFonts w:ascii="Times New Roman" w:hAnsi="Times New Roman"/>
          <w:color w:val="000000"/>
        </w:rPr>
        <w:t>تتكون تطبيقات الويب عادةً من واجهة مستخدم تعمل في المتصفح، وخلفية تتلقى الطلبات وتعالج قواعد العمل وتتعامل مع قاعدة البيانات. تعتمد المنصة على HTML لبنية الصفحات، وCSS لعرضها، وJavaScript للتفاعل وجلب البيانات. في الخلفية يستخدم Flask لتوفير مسارات API، وتستقبل الخدمات طلبات HTTP وترجع نتائج بصيغة JSON. تُعرَّف مسارات عامة للمتصفح ومسارات داخلية لتواصل الخدمات، وهو فصل يقلل تعرّض العمليات الداخلية للواجهة العامة.</w:t>
      </w:r>
    </w:p>
    <w:p w14:paraId="381F2392" w14:textId="77777777" w:rsidR="005C0C8A" w:rsidRDefault="00000000">
      <w:pPr>
        <w:pStyle w:val="21"/>
        <w:bidi/>
        <w:jc w:val="right"/>
      </w:pPr>
      <w:r>
        <w:rPr>
          <w:rFonts w:ascii="Times New Roman" w:eastAsia="Simplified Arabic" w:hAnsi="Times New Roman" w:cs="Simplified Arabic"/>
        </w:rPr>
        <w:t>1-3. بنية الخدمات المصغرة (Microservices)</w:t>
      </w:r>
    </w:p>
    <w:p w14:paraId="1DA47986" w14:textId="77777777" w:rsidR="005C0C8A" w:rsidRDefault="00000000">
      <w:pPr>
        <w:bidi/>
        <w:spacing w:after="120"/>
        <w:jc w:val="both"/>
      </w:pPr>
      <w:r>
        <w:rPr>
          <w:rFonts w:ascii="Times New Roman" w:hAnsi="Times New Roman"/>
          <w:color w:val="000000"/>
        </w:rPr>
        <w:t>تعني بنية الخدمات المصغرة تجزئة التطبيق إلى خدمات منفصلة حول مسؤوليات عمل محددة، مثل المصادقة أو المخزون أو الطلبات. ويسهل هذا الأسلوب عزل مسؤوليات التطوير والبيانات، لكنه يضيف تحديات في الاتصال والاعتمادية وتتبع الأحداث. وفق وثيقة المعمارية المرافقة، قُسمت المنصة إلى ست خدمات، ولكل منها قاعدة بيانات خاصة، مما يفرض استعمال معرّفات عامة والتبادل عبر واجهات بدل العلاقات المباشرة العابرة لقواعد البيانات.</w:t>
      </w:r>
    </w:p>
    <w:p w14:paraId="49D6C938" w14:textId="77777777" w:rsidR="005C0C8A" w:rsidRDefault="00000000">
      <w:pPr>
        <w:pStyle w:val="21"/>
        <w:bidi/>
        <w:jc w:val="right"/>
      </w:pPr>
      <w:r>
        <w:rPr>
          <w:rFonts w:ascii="Times New Roman" w:eastAsia="Simplified Arabic" w:hAnsi="Times New Roman" w:cs="Simplified Arabic"/>
        </w:rPr>
        <w:lastRenderedPageBreak/>
        <w:t>1-4. قواعد البيانات العلائقية وORM</w:t>
      </w:r>
    </w:p>
    <w:p w14:paraId="4FF24462" w14:textId="77777777" w:rsidR="005C0C8A" w:rsidRDefault="00000000">
      <w:pPr>
        <w:bidi/>
        <w:spacing w:after="120"/>
        <w:jc w:val="both"/>
      </w:pPr>
      <w:r>
        <w:rPr>
          <w:rFonts w:ascii="Times New Roman" w:hAnsi="Times New Roman"/>
          <w:color w:val="000000"/>
        </w:rPr>
        <w:t>يُستخدم MySQL لحفظ الكيانات ذات العلاقات الواضحة مثل المستخدمين والأدوية والصيدليات والطلبات وجداول الجرعات. وتساعد القيود والفهارس والمعاملات في الحفاظ على صحة البيانات. يتيح SQLAlchemy تمثيل الجداول كأصناف برمجية وتنفيذ الاستعلامات والمعاملات من الشيفرة. تملك كل خدمة قاعدة بياناتها، فلا يجوز افتراض أن تحديث قاعدة الطلبات وقاعدة المخزون يحدث في معاملة SQL واحدة.</w:t>
      </w:r>
    </w:p>
    <w:p w14:paraId="1C3631AE" w14:textId="77777777" w:rsidR="005C0C8A" w:rsidRDefault="00000000">
      <w:pPr>
        <w:pStyle w:val="21"/>
        <w:bidi/>
        <w:jc w:val="right"/>
      </w:pPr>
      <w:r>
        <w:rPr>
          <w:rFonts w:ascii="Times New Roman" w:eastAsia="Simplified Arabic" w:hAnsi="Times New Roman" w:cs="Simplified Arabic"/>
        </w:rPr>
        <w:t>1-5. المعاملات والتناسق بين الخدمات</w:t>
      </w:r>
    </w:p>
    <w:p w14:paraId="661C9E06" w14:textId="77777777" w:rsidR="005C0C8A" w:rsidRDefault="00000000">
      <w:pPr>
        <w:bidi/>
        <w:spacing w:after="120"/>
        <w:jc w:val="both"/>
      </w:pPr>
      <w:r>
        <w:rPr>
          <w:rFonts w:ascii="Times New Roman" w:hAnsi="Times New Roman"/>
          <w:color w:val="000000"/>
        </w:rPr>
        <w:t>المعاملة (Transaction) مجموعة عمليات تنفذ كوحدة منطقية: تُعتمد جميعها أو تُلغى عند الفشل ضمن القاعدة نفسها. عند صرف طلب يتطلب تغيير حالة الطلب وخصم مخزون صيدلية في قاعدتين مختلفتين، تعتمد المنصة تسلسلاً منظماً يتضمن محاولة صرف ذات معرّف فريد، ثم خصماً قابلاً لإعادة المحاولة دون تكرار، ثم تثبيت حالة الصرف. وتعالج الحالات غير المكتملة بالمطابقة أو خطوات تعويضية، بدلاً من افتراض معاملة ذرية ممتدة بين القاعدتين.</w:t>
      </w:r>
    </w:p>
    <w:p w14:paraId="72E746C2" w14:textId="77777777" w:rsidR="005C0C8A" w:rsidRDefault="00000000">
      <w:pPr>
        <w:pStyle w:val="21"/>
        <w:bidi/>
        <w:jc w:val="right"/>
      </w:pPr>
      <w:r>
        <w:rPr>
          <w:rFonts w:ascii="Times New Roman" w:eastAsia="Simplified Arabic" w:hAnsi="Times New Roman" w:cs="Simplified Arabic"/>
        </w:rPr>
        <w:t>1-6. الأحداث ونمطا Transactional Outbox وInbox</w:t>
      </w:r>
    </w:p>
    <w:p w14:paraId="2D9286F9" w14:textId="77777777" w:rsidR="005C0C8A" w:rsidRDefault="00000000">
      <w:pPr>
        <w:bidi/>
        <w:spacing w:after="120"/>
        <w:jc w:val="both"/>
      </w:pPr>
      <w:r>
        <w:rPr>
          <w:rFonts w:ascii="Times New Roman" w:hAnsi="Times New Roman"/>
          <w:color w:val="000000"/>
        </w:rPr>
        <w:t>تكتب خدمة المصدر حدث العمل مع التغيير الأساسي في المعاملة نفسها داخل جدول Outbox، ثم يتولى عامل خلفي إرسال الأحداث إلى الخدمات المشتركة فيها. يسجل المستقبِل معرّف الحدث في Inbox داخل المعاملة التي تطبق أثره، فيمكنه تجاهل إعادة وصول الحدث نفسه. هذه الآلية تدعم التوصيل مع إعادة المحاولة وتقلل خطر تنفيذ التأثير مرتين. يطبق الإصدار الحالي إرسالاً مباشراً عبر HTTP دون وسيط RabbitMQ؛ لذا ينبغي توضيح متطلبات مراقبة الأحداث الفاشلة وإعادة المحاولة ضمن التصميم.</w:t>
      </w:r>
    </w:p>
    <w:p w14:paraId="6950DA18" w14:textId="77777777" w:rsidR="005C0C8A" w:rsidRDefault="00000000">
      <w:pPr>
        <w:pStyle w:val="21"/>
        <w:bidi/>
        <w:jc w:val="right"/>
      </w:pPr>
      <w:r>
        <w:rPr>
          <w:rFonts w:ascii="Times New Roman" w:eastAsia="Simplified Arabic" w:hAnsi="Times New Roman" w:cs="Simplified Arabic"/>
        </w:rPr>
        <w:t>1-7. مبدأ Idempotency</w:t>
      </w:r>
    </w:p>
    <w:p w14:paraId="5DCBAA2D" w14:textId="77777777" w:rsidR="005C0C8A" w:rsidRDefault="00000000">
      <w:pPr>
        <w:bidi/>
        <w:spacing w:after="120"/>
        <w:jc w:val="both"/>
      </w:pPr>
      <w:r>
        <w:rPr>
          <w:rFonts w:ascii="Times New Roman" w:hAnsi="Times New Roman"/>
          <w:color w:val="000000"/>
        </w:rPr>
        <w:t>تعني خاصية Idempotency أن إعادة الطلب نفسه لا تنتج أثراً إضافياً غير مقصود. وهي مهمة عند تأخر الشبكة أو تكرار النقر على زر تأكيد الطلب أو تكرار رسائل الأحداث. تستعمل المنصة مفاتيح للطلبات وبعض عمليات الخصم، إلى جانب قيود تميّز الحدث أو العملية، لتقليل فرص التكرار. وتظل فعالية هذه الضوابط موضوع اختبار عملي يجرى لاحقاً قبل اعتماد نتائج نهائية.</w:t>
      </w:r>
    </w:p>
    <w:p w14:paraId="694C69EB" w14:textId="77777777" w:rsidR="005C0C8A" w:rsidRDefault="00000000">
      <w:pPr>
        <w:pStyle w:val="21"/>
        <w:bidi/>
        <w:jc w:val="right"/>
      </w:pPr>
      <w:r>
        <w:rPr>
          <w:rFonts w:ascii="Times New Roman" w:eastAsia="Simplified Arabic" w:hAnsi="Times New Roman" w:cs="Simplified Arabic"/>
        </w:rPr>
        <w:t>1-8. المصادقة والتحكم بالأدوار</w:t>
      </w:r>
    </w:p>
    <w:p w14:paraId="338859F4" w14:textId="77777777" w:rsidR="005C0C8A" w:rsidRDefault="00000000">
      <w:pPr>
        <w:bidi/>
        <w:spacing w:after="120"/>
        <w:jc w:val="both"/>
      </w:pPr>
      <w:r>
        <w:rPr>
          <w:rFonts w:ascii="Times New Roman" w:hAnsi="Times New Roman"/>
          <w:color w:val="000000"/>
        </w:rPr>
        <w:t>تستخدم المنصة رموز JWT لتمثيل هوية المستخدم وصلاحياته عند التعامل مع واجهات البرمجة. تقوم الخدمة الخلفية بفحص صحة الرمز والدور قبل السماح بتنفيذ الوظائف المحمية، وتتحقق من حدود صلاحيات كل دور؛ فوظائف إدارة الصيدلية لا تتاح تلقائياً للمريض. وتُستخدم مكتبة Argon2 لحماية كلمات المرور بالتجزئة. ولا تُعد هذه التدابير وحدها دليلاً على أمن مطلق؛ إذ يلزم اختبار التحكم بالوصول، وإدارة الجلسات، وحماية الملفات المرفوعة.</w:t>
      </w:r>
    </w:p>
    <w:p w14:paraId="10EFA99B" w14:textId="77777777" w:rsidR="005C0C8A" w:rsidRDefault="00000000">
      <w:pPr>
        <w:pStyle w:val="21"/>
        <w:bidi/>
        <w:jc w:val="right"/>
      </w:pPr>
      <w:r>
        <w:rPr>
          <w:rFonts w:ascii="Times New Roman" w:eastAsia="Simplified Arabic" w:hAnsi="Times New Roman" w:cs="Simplified Arabic"/>
        </w:rPr>
        <w:lastRenderedPageBreak/>
        <w:t>1-9. البيانات الدوائية ومفهوم البدائل</w:t>
      </w:r>
    </w:p>
    <w:p w14:paraId="554A491E" w14:textId="77777777" w:rsidR="005C0C8A" w:rsidRDefault="00000000">
      <w:pPr>
        <w:bidi/>
        <w:spacing w:after="120"/>
        <w:jc w:val="both"/>
      </w:pPr>
      <w:r>
        <w:rPr>
          <w:rFonts w:ascii="Times New Roman" w:hAnsi="Times New Roman"/>
          <w:color w:val="000000"/>
        </w:rPr>
        <w:t>يتضمن كتالوج الدواء حقولاً تصف الاسم التجاري والعلمي والتركيبة والعيار والشكل الصيدلاني. وتعرّف المنصة البديل البرمجي بتطابق المواد الفعالة وكمياتها والشكل ونوع التحرر، مع تسوية اختلافات الصياغة في البيانات. لكن التطابق في هذه الحقول لا يساوي قراراً طبياً باستبدال العلاج، ولا يُعفي من مراجعة المختص. ووفق الملفات المقدمة، يتضمن الكتالوج الأولي 1521 سجلاً دوائياً في ملف CSV مرفق.</w:t>
      </w:r>
    </w:p>
    <w:p w14:paraId="1DE3EB60" w14:textId="77777777" w:rsidR="005C0C8A" w:rsidRDefault="00000000">
      <w:pPr>
        <w:pStyle w:val="21"/>
        <w:bidi/>
        <w:jc w:val="right"/>
      </w:pPr>
      <w:r>
        <w:rPr>
          <w:rFonts w:ascii="Times New Roman" w:eastAsia="Simplified Arabic" w:hAnsi="Times New Roman" w:cs="Simplified Arabic"/>
        </w:rPr>
        <w:t>1-10. المعلومات الجغرافية وحساب الطرق</w:t>
      </w:r>
    </w:p>
    <w:p w14:paraId="4BC995CB" w14:textId="77777777" w:rsidR="005C0C8A" w:rsidRDefault="00000000">
      <w:pPr>
        <w:bidi/>
        <w:spacing w:after="120"/>
        <w:jc w:val="both"/>
      </w:pPr>
      <w:r>
        <w:rPr>
          <w:rFonts w:ascii="Times New Roman" w:hAnsi="Times New Roman"/>
          <w:color w:val="000000"/>
        </w:rPr>
        <w:t>تستخدم الواجهة بيانات الموقع التي يجيزها المستخدم في المتصفح لتحديد الصيدليات على الخريطة، وتعرض نقاط الصيدليات باستخدام مكتبة Leaflet وخرائط OpenStreetMap. ويمكن الاستعانة بخدمة OSRM لحساب مسار الطريق بدلاً من تقدير القرب بالمسافة المستقيمة فقط. ويتأثر نجاح الخدمة بإذن الموقع وتوافر بيانات الطرق والاتصال بالجهات الخارجية؛ لذلك ينبغي التعامل مع تعذر الموقع أو تحميل الخرائط بواجهات بديلة واضحة.</w:t>
      </w:r>
    </w:p>
    <w:p w14:paraId="0F84775F" w14:textId="77777777" w:rsidR="005C0C8A" w:rsidRDefault="00000000">
      <w:pPr>
        <w:pStyle w:val="21"/>
        <w:bidi/>
        <w:jc w:val="right"/>
      </w:pPr>
      <w:r>
        <w:rPr>
          <w:rFonts w:ascii="Times New Roman" w:eastAsia="Simplified Arabic" w:hAnsi="Times New Roman" w:cs="Simplified Arabic"/>
        </w:rPr>
        <w:t>1-11. جدولة الجرعات والإشعارات</w:t>
      </w:r>
    </w:p>
    <w:p w14:paraId="67E43D31" w14:textId="77777777" w:rsidR="005C0C8A" w:rsidRDefault="00000000">
      <w:pPr>
        <w:bidi/>
        <w:spacing w:after="120"/>
        <w:jc w:val="both"/>
      </w:pPr>
      <w:r>
        <w:rPr>
          <w:rFonts w:ascii="Times New Roman" w:hAnsi="Times New Roman"/>
          <w:color w:val="000000"/>
        </w:rPr>
        <w:t>يمثل جدول الجرعات قواعد زمنية ترتبط بالدواء وتواريخ البدء والتكرار والأوقات، وتحتاج محركات المتابعة إلى تفسير المناطق الزمنية وتجنّب إنشاء تذكير مكرر. تستخدم المنصة خدمة Health لاحتساب الجرعات المستحقة وإصدار الأحداث، ثم تتولى Notification تخزين الإشعارات وعرضها. ويجب التمييز بين تذكير النظام وبين التأكد الطبي من تناول الدواء؛ فحالة الجرعة تعتمد على مدخلات المستخدم وعمليات التسجيل التي يوفرها النظام.</w:t>
      </w:r>
    </w:p>
    <w:p w14:paraId="3A0C7E28" w14:textId="77777777" w:rsidR="005C0C8A" w:rsidRDefault="00000000">
      <w:pPr>
        <w:pStyle w:val="21"/>
        <w:bidi/>
        <w:jc w:val="right"/>
      </w:pPr>
      <w:r>
        <w:rPr>
          <w:rFonts w:ascii="Times New Roman" w:eastAsia="Simplified Arabic" w:hAnsi="Times New Roman" w:cs="Simplified Arabic"/>
        </w:rPr>
        <w:t>1-12. حدود الدراسة النظرية وخلاصتها</w:t>
      </w:r>
    </w:p>
    <w:p w14:paraId="0C5099F4" w14:textId="77777777" w:rsidR="005C0C8A" w:rsidRDefault="00000000">
      <w:pPr>
        <w:bidi/>
        <w:spacing w:after="120"/>
        <w:jc w:val="both"/>
      </w:pPr>
      <w:r>
        <w:rPr>
          <w:rFonts w:ascii="Times New Roman" w:hAnsi="Times New Roman"/>
          <w:color w:val="000000"/>
        </w:rPr>
        <w:t>يقدم المشروع مثالاً على دمج موضوعات برمجية متعددة داخل مجال تطبيقي واحد. وتعد المفاضلة بين استقلال الخدمات وحاجة العمل إلى التناسق، وضمان عدم تكرار الصرف، والتعامل مع بيانات صحية ودوائية، وعزل صلاحيات الأدوار من أهم القضايا التي تستلزم توثيقاً واختباراً في المراحل اللاحقة. لا يثبت استعراض هذه المفاهيم نجاح التنفيذ تلقائياً؛ بل يحدد الأساس النظري الذي تُشتق منه خطط الاختبار ونتائج التقييم.</w:t>
      </w:r>
    </w:p>
    <w:p w14:paraId="0B2EDBD1" w14:textId="77777777" w:rsidR="005C0C8A" w:rsidRDefault="00000000">
      <w:pPr>
        <w:pStyle w:val="1"/>
        <w:pageBreakBefore/>
        <w:pBdr>
          <w:bottom w:val="single" w:sz="14" w:space="7" w:color="1A68D1"/>
        </w:pBdr>
        <w:bidi/>
        <w:spacing w:after="160"/>
        <w:jc w:val="right"/>
      </w:pPr>
      <w:r>
        <w:rPr>
          <w:rFonts w:ascii="Times New Roman" w:eastAsia="Simplified Arabic" w:hAnsi="Times New Roman" w:cs="Simplified Arabic"/>
        </w:rPr>
        <w:lastRenderedPageBreak/>
        <w:t>قائمة المراجع العلمية والمصادر الفنية</w:t>
      </w:r>
    </w:p>
    <w:p w14:paraId="1FB3A0EB" w14:textId="77777777" w:rsidR="005C0C8A" w:rsidRDefault="00000000">
      <w:pPr>
        <w:bidi/>
        <w:spacing w:after="120"/>
        <w:jc w:val="both"/>
      </w:pPr>
      <w:r>
        <w:rPr>
          <w:rFonts w:ascii="Times New Roman" w:hAnsi="Times New Roman"/>
          <w:color w:val="000000"/>
        </w:rPr>
        <w:t>1. Jiménez-Chala, E. A., et al. (2022). Use of mobile applications to increase therapeutic adherence in adults: A systematic review. Journal of Medical Systems, 46, 87. https://doi.org/10.1007/s10916-022-01876-2</w:t>
      </w:r>
    </w:p>
    <w:p w14:paraId="49310F7E" w14:textId="77777777" w:rsidR="005C0C8A" w:rsidRDefault="00000000">
      <w:pPr>
        <w:bidi/>
        <w:spacing w:after="120"/>
        <w:jc w:val="both"/>
      </w:pPr>
      <w:r>
        <w:rPr>
          <w:rFonts w:ascii="Times New Roman" w:hAnsi="Times New Roman"/>
          <w:color w:val="000000"/>
        </w:rPr>
        <w:t>2. Islam, S. M. S., et al. (2022). Smartphone apps for diabetes medication adherence: Systematic review. JMIR Diabetes, 7(2), e33264. https://doi.org/10.2196/33264</w:t>
      </w:r>
    </w:p>
    <w:p w14:paraId="7A2C307C" w14:textId="77777777" w:rsidR="005C0C8A" w:rsidRDefault="00000000">
      <w:pPr>
        <w:bidi/>
        <w:spacing w:after="120"/>
        <w:jc w:val="both"/>
      </w:pPr>
      <w:r>
        <w:rPr>
          <w:rFonts w:ascii="Times New Roman" w:hAnsi="Times New Roman"/>
          <w:color w:val="000000"/>
        </w:rPr>
        <w:t>3. Ashemore, A. W., et al. (2023). Understanding the problem of digital medication inventory visibility in health systems. American Journal of Health-System Pharmacy, 80(18), 1255–1263. https://doi.org/10.1093/ajhp/zxad130</w:t>
      </w:r>
    </w:p>
    <w:p w14:paraId="0C4CEB7A" w14:textId="77777777" w:rsidR="005C0C8A" w:rsidRDefault="00000000">
      <w:pPr>
        <w:bidi/>
        <w:spacing w:after="120"/>
        <w:jc w:val="both"/>
      </w:pPr>
      <w:r>
        <w:rPr>
          <w:rFonts w:ascii="Times New Roman" w:hAnsi="Times New Roman"/>
          <w:color w:val="000000"/>
        </w:rPr>
        <w:t>4. Wondmagegn, M. T., Nabaasa, E., Melesse, E. A., &amp; Kassaw, E. A. (2023). A framework for locating prescribed medication at pharmacies. Integrated Pharmacy Research and Practice, 12, 127–136. https://doi.org/10.2147/IPRP.S415674</w:t>
      </w:r>
    </w:p>
    <w:p w14:paraId="7DF2667B" w14:textId="77777777" w:rsidR="005C0C8A" w:rsidRDefault="00000000">
      <w:pPr>
        <w:bidi/>
        <w:spacing w:after="120"/>
        <w:jc w:val="both"/>
      </w:pPr>
      <w:r>
        <w:rPr>
          <w:rFonts w:ascii="Times New Roman" w:hAnsi="Times New Roman"/>
          <w:color w:val="000000"/>
        </w:rPr>
        <w:t>5. Tinam-isan, M. A. C., Sandoval, S. D., Neri, N. R., &amp; Gandamato, N. L. (2024). Geospatial pharmacy navigator: A web and mobile application integrating geographical information system (GIS) for medicine accessibility. International Journal of Advanced Computer Science and Applications, 15(1). https://doi.org/10.14569/IJACSA.2024.0150176</w:t>
      </w:r>
    </w:p>
    <w:p w14:paraId="5752819B" w14:textId="77777777" w:rsidR="005C0C8A" w:rsidRDefault="00000000">
      <w:pPr>
        <w:bidi/>
        <w:spacing w:after="120"/>
        <w:jc w:val="both"/>
      </w:pPr>
      <w:r>
        <w:rPr>
          <w:rFonts w:ascii="Times New Roman" w:hAnsi="Times New Roman"/>
          <w:color w:val="000000"/>
        </w:rPr>
        <w:t>6. Yadav, P. (2024). Digital transformation in the health product supply chain: A framework for analysis. Health Systems &amp; Reform, 10(2), 2386041. https://doi.org/10.1080/23288604.2024.2386041</w:t>
      </w:r>
    </w:p>
    <w:p w14:paraId="1342FA24" w14:textId="77777777" w:rsidR="005C0C8A" w:rsidRDefault="00000000">
      <w:pPr>
        <w:bidi/>
        <w:spacing w:after="120"/>
        <w:jc w:val="both"/>
      </w:pPr>
      <w:r>
        <w:rPr>
          <w:rFonts w:ascii="Times New Roman" w:hAnsi="Times New Roman"/>
          <w:color w:val="000000"/>
        </w:rPr>
        <w:t>7. Lanke, V., Trimm, K., Habib, B., &amp; Tamblyn, R. (2025). Evaluating the effectiveness of mobile apps on medication adherence for chronic conditions: Systematic review and meta-analysis. Journal of Medical Internet Research, 27, e60822. https://doi.org/10.2196/60822</w:t>
      </w:r>
    </w:p>
    <w:p w14:paraId="0B8300F6" w14:textId="77777777" w:rsidR="005C0C8A" w:rsidRDefault="00000000">
      <w:pPr>
        <w:bidi/>
        <w:spacing w:after="120"/>
        <w:jc w:val="both"/>
      </w:pPr>
      <w:r>
        <w:rPr>
          <w:rFonts w:ascii="Times New Roman" w:hAnsi="Times New Roman"/>
          <w:color w:val="000000"/>
        </w:rPr>
        <w:t>8. Abimanyu, E. P. B., Satibi, &amp; Endarti, D. (2026). Digital technologies in hospital pharmacy: A systematic review of their impact on efficiency, safety, and inventory management. Journal of Preventive Medicine and Public Health, 59(1), 1–11. https://doi.org/10.3961/jpmph.25.495</w:t>
      </w:r>
    </w:p>
    <w:p w14:paraId="3BC89497" w14:textId="77777777" w:rsidR="005C0C8A" w:rsidRDefault="00000000">
      <w:pPr>
        <w:bidi/>
        <w:spacing w:after="120"/>
        <w:jc w:val="both"/>
      </w:pPr>
      <w:r>
        <w:rPr>
          <w:rFonts w:ascii="Times New Roman" w:hAnsi="Times New Roman"/>
          <w:color w:val="000000"/>
        </w:rPr>
        <w:t>9. Medisafe. (n.d.). Platform. https://medisafe.com/platform</w:t>
      </w:r>
    </w:p>
    <w:p w14:paraId="18F939AD" w14:textId="77777777" w:rsidR="005C0C8A" w:rsidRDefault="00000000">
      <w:pPr>
        <w:bidi/>
        <w:spacing w:after="120"/>
        <w:jc w:val="both"/>
      </w:pPr>
      <w:r>
        <w:rPr>
          <w:rFonts w:ascii="Times New Roman" w:hAnsi="Times New Roman"/>
          <w:color w:val="000000"/>
        </w:rPr>
        <w:t>10. MyTherapy. (n.d.). Medication reminder and pill tracker app. https://www.mytherapyapp.com/</w:t>
      </w:r>
    </w:p>
    <w:p w14:paraId="2C266D01" w14:textId="77777777" w:rsidR="005C0C8A" w:rsidRDefault="00000000">
      <w:pPr>
        <w:bidi/>
        <w:spacing w:after="120"/>
        <w:jc w:val="both"/>
      </w:pPr>
      <w:r>
        <w:rPr>
          <w:rFonts w:ascii="Times New Roman" w:hAnsi="Times New Roman"/>
          <w:color w:val="000000"/>
        </w:rPr>
        <w:lastRenderedPageBreak/>
        <w:t>11. GoodRx. (n.d.). How GoodRx works. https://www.goodrx.com/how-goodrx-works</w:t>
      </w:r>
    </w:p>
    <w:p w14:paraId="593079F5" w14:textId="77777777" w:rsidR="005C0C8A" w:rsidRDefault="00000000">
      <w:pPr>
        <w:bidi/>
        <w:spacing w:after="120"/>
        <w:jc w:val="both"/>
      </w:pPr>
      <w:r>
        <w:rPr>
          <w:rFonts w:ascii="Times New Roman" w:hAnsi="Times New Roman"/>
          <w:color w:val="000000"/>
        </w:rPr>
        <w:t>12. ملفات النسخة الحالية من المشروع: README.md؛ docs/ARCHITECTURE.md؛ docs/DECISION_LOG.md؛ db/medplat_schema.sql؛ requirements.txt (مصادر أولية غير منشورة مقدّمة من صاحب المشروع).</w:t>
      </w:r>
    </w:p>
    <w:p w14:paraId="33C3877E" w14:textId="77777777" w:rsidR="005C0C8A" w:rsidRDefault="00000000">
      <w:pPr>
        <w:bidi/>
        <w:spacing w:after="120"/>
        <w:jc w:val="both"/>
      </w:pPr>
      <w:r>
        <w:rPr>
          <w:rFonts w:ascii="Times New Roman" w:hAnsi="Times New Roman"/>
          <w:color w:val="000000"/>
        </w:rPr>
        <w:t>13. دليل كتابة تقارير مشاريع التخرج (2025–2026)، الإصدار V1.1، الجامعة السورية الخاصة، قسم هندسة البرمجيات ونظم المعلومات الذكية (مرجع التنسيق الجامعي).</w:t>
      </w:r>
    </w:p>
    <w:sectPr w:rsidR="005C0C8A" w:rsidSect="00034616">
      <w:headerReference w:type="default" r:id="rId10"/>
      <w:footerReference w:type="default" r:id="rId11"/>
      <w:pgSz w:w="11906" w:h="16838"/>
      <w:pgMar w:top="1440" w:right="1440" w:bottom="1440" w:left="1440" w:header="68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3BBD3" w14:textId="77777777" w:rsidR="00524C68" w:rsidRDefault="00524C68">
      <w:pPr>
        <w:spacing w:before="0" w:after="0" w:line="240" w:lineRule="auto"/>
      </w:pPr>
      <w:r>
        <w:separator/>
      </w:r>
    </w:p>
  </w:endnote>
  <w:endnote w:type="continuationSeparator" w:id="0">
    <w:p w14:paraId="03E50CCE" w14:textId="77777777" w:rsidR="00524C68" w:rsidRDefault="00524C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A597" w14:textId="77777777" w:rsidR="005C0C8A" w:rsidRDefault="00000000">
    <w:pPr>
      <w:pStyle w:val="a6"/>
      <w:pBdr>
        <w:top w:val="single" w:sz="6" w:space="8" w:color="CCD9E7"/>
      </w:pBdr>
      <w:bidi/>
      <w:spacing w:before="40"/>
      <w:jc w:val="center"/>
    </w:pPr>
    <w:r>
      <w:rPr>
        <w:rFonts w:ascii="Times New Roman" w:hAnsi="Times New Roman"/>
        <w:sz w:val="20"/>
      </w:rPr>
      <w:t xml:space="preserve">صفحة  </w:t>
    </w:r>
    <w:r>
      <w:fldChar w:fldCharType="begin"/>
    </w:r>
    <w:r>
      <w:instrText>PAGE</w:instrText>
    </w:r>
    <w:r>
      <w:fldChar w:fldCharType="separate"/>
    </w:r>
    <w:r w:rsidR="00981D22">
      <w:rPr>
        <w:noProof/>
        <w:rtl/>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DD912" w14:textId="77777777" w:rsidR="00524C68" w:rsidRDefault="00524C68">
      <w:pPr>
        <w:spacing w:before="0" w:after="0" w:line="240" w:lineRule="auto"/>
      </w:pPr>
      <w:r>
        <w:separator/>
      </w:r>
    </w:p>
  </w:footnote>
  <w:footnote w:type="continuationSeparator" w:id="0">
    <w:p w14:paraId="056F852E" w14:textId="77777777" w:rsidR="00524C68" w:rsidRDefault="00524C6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2F6CE" w14:textId="77777777" w:rsidR="005C0C8A" w:rsidRDefault="00000000">
    <w:pPr>
      <w:pStyle w:val="a5"/>
      <w:pBdr>
        <w:bottom w:val="single" w:sz="6" w:space="6" w:color="CCD9E7"/>
      </w:pBdr>
      <w:bidi/>
      <w:jc w:val="right"/>
    </w:pPr>
    <w:r>
      <w:rPr>
        <w:rFonts w:ascii="Times New Roman" w:hAnsi="Times New Roman"/>
        <w:color w:val="525D67"/>
        <w:sz w:val="18"/>
      </w:rPr>
      <w:t>الجامعة السورية الخاصة   |   منصة إدارة الأدوية والصيدليات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2715901">
    <w:abstractNumId w:val="8"/>
  </w:num>
  <w:num w:numId="2" w16cid:durableId="1214925242">
    <w:abstractNumId w:val="6"/>
  </w:num>
  <w:num w:numId="3" w16cid:durableId="865100322">
    <w:abstractNumId w:val="5"/>
  </w:num>
  <w:num w:numId="4" w16cid:durableId="537746767">
    <w:abstractNumId w:val="4"/>
  </w:num>
  <w:num w:numId="5" w16cid:durableId="1572235522">
    <w:abstractNumId w:val="7"/>
  </w:num>
  <w:num w:numId="6" w16cid:durableId="917446693">
    <w:abstractNumId w:val="3"/>
  </w:num>
  <w:num w:numId="7" w16cid:durableId="564679217">
    <w:abstractNumId w:val="2"/>
  </w:num>
  <w:num w:numId="8" w16cid:durableId="1153446288">
    <w:abstractNumId w:val="1"/>
  </w:num>
  <w:num w:numId="9" w16cid:durableId="89635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607"/>
    <w:rsid w:val="0029639D"/>
    <w:rsid w:val="00326F90"/>
    <w:rsid w:val="00524C68"/>
    <w:rsid w:val="005C0C8A"/>
    <w:rsid w:val="00981D22"/>
    <w:rsid w:val="00AA1D8D"/>
    <w:rsid w:val="00B47730"/>
    <w:rsid w:val="00CB0664"/>
    <w:rsid w:val="00CC4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35506"/>
  <w14:defaultImageDpi w14:val="300"/>
  <w15:docId w15:val="{33BED71C-46B1-47E2-A1A3-A932D93D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80" w:after="140"/>
    </w:pPr>
    <w:rPr>
      <w:rFonts w:ascii="Simplified Arabic" w:eastAsia="Simplified Arabic" w:hAnsi="Simplified Arabic" w:cs="Simplified Arabic"/>
      <w:color w:val="171E25"/>
      <w:sz w:val="28"/>
    </w:rPr>
  </w:style>
  <w:style w:type="paragraph" w:styleId="1">
    <w:name w:val="heading 1"/>
    <w:basedOn w:val="a1"/>
    <w:next w:val="a1"/>
    <w:link w:val="1Char"/>
    <w:uiPriority w:val="9"/>
    <w:qFormat/>
    <w:rsid w:val="00FC693F"/>
    <w:pPr>
      <w:keepNext/>
      <w:keepLines/>
      <w:spacing w:before="0" w:after="36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Char"/>
    <w:uiPriority w:val="9"/>
    <w:unhideWhenUsed/>
    <w:qFormat/>
    <w:rsid w:val="00FC693F"/>
    <w:pPr>
      <w:keepNext/>
      <w:keepLines/>
      <w:spacing w:before="300" w:after="160"/>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Char"/>
    <w:uiPriority w:val="9"/>
    <w:unhideWhenUsed/>
    <w:qFormat/>
    <w:rsid w:val="00FC693F"/>
    <w:pPr>
      <w:keepNext/>
      <w:keepLines/>
      <w:spacing w:before="140" w:after="80"/>
      <w:outlineLvl w:val="2"/>
    </w:pPr>
    <w:rPr>
      <w:rFonts w:asciiTheme="majorHAnsi" w:eastAsiaTheme="majorEastAsia" w:hAnsiTheme="majorHAnsi" w:cstheme="majorBidi"/>
      <w:b/>
      <w:bCs/>
      <w:color w:val="00000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2567</Words>
  <Characters>14633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الجزء الأول من تقرير مشروع منصة إدارة الأدوية والصيدليات</dc:title>
  <dc:subject>ملف السيمنار الأول - كلية هندسة الذكاء الاصطناعي</dc:subject>
  <dc:creator/>
  <cp:keywords>منصة الأدوية، الصيدليات، الخدمات المصغرة، مشروع التخرج</cp:keywords>
  <dc:description>generated by python-docx</dc:description>
  <cp:lastModifiedBy>mohammad1alsaeed@outlook.sa</cp:lastModifiedBy>
  <cp:revision>5</cp:revision>
  <dcterms:created xsi:type="dcterms:W3CDTF">2013-12-23T23:15:00Z</dcterms:created>
  <dcterms:modified xsi:type="dcterms:W3CDTF">2026-10-28T21:07:00Z</dcterms:modified>
  <cp:category/>
</cp:coreProperties>
</file>