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5352F" w14:textId="6ADD209D" w:rsidR="000953D0" w:rsidRDefault="00000000">
      <w:pPr>
        <w:pStyle w:val="Heading1"/>
      </w:pPr>
      <w:bookmarkStart w:id="0" w:name="summary-report"/>
      <w:r>
        <w:t>Summary Report</w:t>
      </w:r>
      <w:r w:rsidR="003117C0">
        <w:t xml:space="preserve"> – Craig Troop – 23 May 2025</w:t>
      </w:r>
    </w:p>
    <w:p w14:paraId="10C61056" w14:textId="77777777" w:rsidR="000953D0" w:rsidRDefault="00000000">
      <w:pPr>
        <w:pStyle w:val="Heading2"/>
      </w:pPr>
      <w:bookmarkStart w:id="1" w:name="architecture"/>
      <w:r>
        <w:t>1. Architecture</w:t>
      </w:r>
    </w:p>
    <w:p w14:paraId="196D78EE" w14:textId="77777777" w:rsidR="000953D0" w:rsidRDefault="00000000" w:rsidP="00A430A8">
      <w:pPr>
        <w:pStyle w:val="CaptionedFigure"/>
        <w:jc w:val="center"/>
      </w:pPr>
      <w:r>
        <w:rPr>
          <w:noProof/>
        </w:rPr>
        <w:drawing>
          <wp:inline distT="0" distB="0" distL="0" distR="0" wp14:anchorId="4147B79F" wp14:editId="4B881D66">
            <wp:extent cx="4899048" cy="3337226"/>
            <wp:effectExtent l="0" t="0" r="0" b="0"/>
            <wp:docPr id="21" name="Picture" descr="Architecture Diagram"/>
            <wp:cNvGraphicFramePr/>
            <a:graphic xmlns:a="http://schemas.openxmlformats.org/drawingml/2006/main">
              <a:graphicData uri="http://schemas.openxmlformats.org/drawingml/2006/picture">
                <pic:pic xmlns:pic="http://schemas.openxmlformats.org/drawingml/2006/picture">
                  <pic:nvPicPr>
                    <pic:cNvPr id="22" name="Picture" descr="../deliverables/architecture_diagram.png"/>
                    <pic:cNvPicPr>
                      <a:picLocks noChangeAspect="1" noChangeArrowheads="1"/>
                    </pic:cNvPicPr>
                  </pic:nvPicPr>
                  <pic:blipFill>
                    <a:blip r:embed="rId5"/>
                    <a:stretch>
                      <a:fillRect/>
                    </a:stretch>
                  </pic:blipFill>
                  <pic:spPr bwMode="auto">
                    <a:xfrm>
                      <a:off x="0" y="0"/>
                      <a:ext cx="5025730" cy="3423522"/>
                    </a:xfrm>
                    <a:prstGeom prst="rect">
                      <a:avLst/>
                    </a:prstGeom>
                    <a:noFill/>
                    <a:ln w="9525">
                      <a:noFill/>
                      <a:headEnd/>
                      <a:tailEnd/>
                    </a:ln>
                  </pic:spPr>
                </pic:pic>
              </a:graphicData>
            </a:graphic>
          </wp:inline>
        </w:drawing>
      </w:r>
    </w:p>
    <w:p w14:paraId="17C4F318" w14:textId="77777777" w:rsidR="000953D0" w:rsidRDefault="00000000">
      <w:pPr>
        <w:pStyle w:val="ImageCaption"/>
      </w:pPr>
      <w:r>
        <w:t>Architecture Diagram</w:t>
      </w:r>
    </w:p>
    <w:p w14:paraId="79AE8EC5" w14:textId="757157D9" w:rsidR="000953D0" w:rsidRDefault="00000000">
      <w:pPr>
        <w:pStyle w:val="Heading3"/>
      </w:pPr>
      <w:bookmarkStart w:id="2" w:name="key-components"/>
      <w:r>
        <w:t>Key Components</w:t>
      </w:r>
    </w:p>
    <w:tbl>
      <w:tblPr>
        <w:tblStyle w:val="Table"/>
        <w:tblW w:w="5000" w:type="pct"/>
        <w:tblLayout w:type="fixed"/>
        <w:tblLook w:val="0020" w:firstRow="1" w:lastRow="0" w:firstColumn="0" w:lastColumn="0" w:noHBand="0" w:noVBand="0"/>
      </w:tblPr>
      <w:tblGrid>
        <w:gridCol w:w="3398"/>
        <w:gridCol w:w="3089"/>
        <w:gridCol w:w="3089"/>
      </w:tblGrid>
      <w:tr w:rsidR="000953D0" w14:paraId="4B885FA3" w14:textId="77777777" w:rsidTr="000953D0">
        <w:trPr>
          <w:cnfStyle w:val="100000000000" w:firstRow="1" w:lastRow="0" w:firstColumn="0" w:lastColumn="0" w:oddVBand="0" w:evenVBand="0" w:oddHBand="0" w:evenHBand="0" w:firstRowFirstColumn="0" w:firstRowLastColumn="0" w:lastRowFirstColumn="0" w:lastRowLastColumn="0"/>
          <w:tblHeader/>
        </w:trPr>
        <w:tc>
          <w:tcPr>
            <w:tcW w:w="2810" w:type="dxa"/>
          </w:tcPr>
          <w:p w14:paraId="38A81E78" w14:textId="77777777" w:rsidR="000953D0" w:rsidRDefault="00000000">
            <w:pPr>
              <w:pStyle w:val="Compact"/>
            </w:pPr>
            <w:r>
              <w:t>Component</w:t>
            </w:r>
          </w:p>
        </w:tc>
        <w:tc>
          <w:tcPr>
            <w:tcW w:w="2554" w:type="dxa"/>
          </w:tcPr>
          <w:p w14:paraId="24A5A1A9" w14:textId="77777777" w:rsidR="000953D0" w:rsidRDefault="00000000">
            <w:pPr>
              <w:pStyle w:val="Compact"/>
            </w:pPr>
            <w:r>
              <w:t>Location</w:t>
            </w:r>
          </w:p>
        </w:tc>
        <w:tc>
          <w:tcPr>
            <w:tcW w:w="2554" w:type="dxa"/>
          </w:tcPr>
          <w:p w14:paraId="01378F7D" w14:textId="77777777" w:rsidR="000953D0" w:rsidRDefault="00000000">
            <w:pPr>
              <w:pStyle w:val="Compact"/>
            </w:pPr>
            <w:r>
              <w:t>Function</w:t>
            </w:r>
          </w:p>
        </w:tc>
      </w:tr>
      <w:tr w:rsidR="000953D0" w14:paraId="412A9A39" w14:textId="77777777">
        <w:tc>
          <w:tcPr>
            <w:tcW w:w="2810" w:type="dxa"/>
          </w:tcPr>
          <w:p w14:paraId="49C9D704" w14:textId="77777777" w:rsidR="000953D0" w:rsidRDefault="00000000">
            <w:pPr>
              <w:pStyle w:val="Compact"/>
            </w:pPr>
            <w:r>
              <w:t>nginx</w:t>
            </w:r>
          </w:p>
        </w:tc>
        <w:tc>
          <w:tcPr>
            <w:tcW w:w="2554" w:type="dxa"/>
          </w:tcPr>
          <w:p w14:paraId="5F4AA1D9" w14:textId="77777777" w:rsidR="000953D0" w:rsidRDefault="00000000">
            <w:pPr>
              <w:pStyle w:val="Compact"/>
            </w:pPr>
            <w:r>
              <w:t>Flask Container</w:t>
            </w:r>
          </w:p>
        </w:tc>
        <w:tc>
          <w:tcPr>
            <w:tcW w:w="2554" w:type="dxa"/>
          </w:tcPr>
          <w:p w14:paraId="4D2FE32A" w14:textId="77777777" w:rsidR="000953D0" w:rsidRDefault="00000000">
            <w:pPr>
              <w:pStyle w:val="Compact"/>
            </w:pPr>
            <w:r>
              <w:t>Reverse Proxy to protect Flask App</w:t>
            </w:r>
          </w:p>
        </w:tc>
      </w:tr>
      <w:tr w:rsidR="000953D0" w14:paraId="3AD6C5E2" w14:textId="77777777">
        <w:tc>
          <w:tcPr>
            <w:tcW w:w="2810" w:type="dxa"/>
          </w:tcPr>
          <w:p w14:paraId="1A6B5FFD" w14:textId="77777777" w:rsidR="000953D0" w:rsidRDefault="00000000">
            <w:pPr>
              <w:pStyle w:val="Compact"/>
            </w:pPr>
            <w:r>
              <w:t>flask_protected_api</w:t>
            </w:r>
          </w:p>
        </w:tc>
        <w:tc>
          <w:tcPr>
            <w:tcW w:w="2554" w:type="dxa"/>
          </w:tcPr>
          <w:p w14:paraId="244E3A3D" w14:textId="77777777" w:rsidR="000953D0" w:rsidRDefault="00000000">
            <w:pPr>
              <w:pStyle w:val="Compact"/>
            </w:pPr>
            <w:r>
              <w:t>Flask Container</w:t>
            </w:r>
          </w:p>
        </w:tc>
        <w:tc>
          <w:tcPr>
            <w:tcW w:w="2554" w:type="dxa"/>
          </w:tcPr>
          <w:p w14:paraId="681CFB04" w14:textId="77777777" w:rsidR="000953D0" w:rsidRDefault="00000000">
            <w:pPr>
              <w:pStyle w:val="Compact"/>
            </w:pPr>
            <w:r>
              <w:t>Exposes protected API endpoints</w:t>
            </w:r>
          </w:p>
        </w:tc>
      </w:tr>
      <w:tr w:rsidR="000953D0" w14:paraId="482A9733" w14:textId="77777777">
        <w:tc>
          <w:tcPr>
            <w:tcW w:w="2810" w:type="dxa"/>
          </w:tcPr>
          <w:p w14:paraId="5C724B7D" w14:textId="77777777" w:rsidR="000953D0" w:rsidRDefault="00000000">
            <w:pPr>
              <w:pStyle w:val="Compact"/>
            </w:pPr>
            <w:r>
              <w:t>Flask App</w:t>
            </w:r>
          </w:p>
        </w:tc>
        <w:tc>
          <w:tcPr>
            <w:tcW w:w="2554" w:type="dxa"/>
          </w:tcPr>
          <w:p w14:paraId="27C6D2D4" w14:textId="77777777" w:rsidR="000953D0" w:rsidRDefault="00000000">
            <w:pPr>
              <w:pStyle w:val="Compact"/>
            </w:pPr>
            <w:r>
              <w:t>Flask Container</w:t>
            </w:r>
          </w:p>
        </w:tc>
        <w:tc>
          <w:tcPr>
            <w:tcW w:w="2554" w:type="dxa"/>
          </w:tcPr>
          <w:p w14:paraId="1192CF62" w14:textId="77777777" w:rsidR="000953D0" w:rsidRDefault="00000000">
            <w:pPr>
              <w:pStyle w:val="Compact"/>
            </w:pPr>
            <w:r>
              <w:t>Implements business logic, handles OAuth 2.0 and OIDC login flow, secures API routes with token-based access contol</w:t>
            </w:r>
          </w:p>
        </w:tc>
      </w:tr>
      <w:tr w:rsidR="000953D0" w14:paraId="3D677F90" w14:textId="77777777">
        <w:tc>
          <w:tcPr>
            <w:tcW w:w="2810" w:type="dxa"/>
          </w:tcPr>
          <w:p w14:paraId="24F76D00" w14:textId="77777777" w:rsidR="000953D0" w:rsidRDefault="00000000">
            <w:pPr>
              <w:pStyle w:val="Compact"/>
            </w:pPr>
            <w:r>
              <w:t>KeyCloak</w:t>
            </w:r>
          </w:p>
        </w:tc>
        <w:tc>
          <w:tcPr>
            <w:tcW w:w="2554" w:type="dxa"/>
          </w:tcPr>
          <w:p w14:paraId="431D5AF0" w14:textId="77777777" w:rsidR="000953D0" w:rsidRDefault="00000000">
            <w:pPr>
              <w:pStyle w:val="Compact"/>
            </w:pPr>
            <w:r>
              <w:t>KeyCloak Container</w:t>
            </w:r>
          </w:p>
        </w:tc>
        <w:tc>
          <w:tcPr>
            <w:tcW w:w="2554" w:type="dxa"/>
          </w:tcPr>
          <w:p w14:paraId="58367D08" w14:textId="77777777" w:rsidR="000953D0" w:rsidRDefault="00000000">
            <w:pPr>
              <w:pStyle w:val="Compact"/>
            </w:pPr>
            <w:r>
              <w:t>IAM provider for user authentication, token issuance, and RBAC</w:t>
            </w:r>
          </w:p>
        </w:tc>
      </w:tr>
      <w:tr w:rsidR="000953D0" w14:paraId="45D97E0B" w14:textId="77777777">
        <w:tc>
          <w:tcPr>
            <w:tcW w:w="2810" w:type="dxa"/>
          </w:tcPr>
          <w:p w14:paraId="4695811E" w14:textId="77777777" w:rsidR="000953D0" w:rsidRDefault="00000000">
            <w:pPr>
              <w:pStyle w:val="Compact"/>
            </w:pPr>
            <w:r>
              <w:t>KeyCloak DB</w:t>
            </w:r>
          </w:p>
        </w:tc>
        <w:tc>
          <w:tcPr>
            <w:tcW w:w="2554" w:type="dxa"/>
          </w:tcPr>
          <w:p w14:paraId="70873283" w14:textId="77777777" w:rsidR="000953D0" w:rsidRDefault="00000000">
            <w:pPr>
              <w:pStyle w:val="Compact"/>
            </w:pPr>
            <w:r>
              <w:t>Postgres Container</w:t>
            </w:r>
          </w:p>
        </w:tc>
        <w:tc>
          <w:tcPr>
            <w:tcW w:w="2554" w:type="dxa"/>
          </w:tcPr>
          <w:p w14:paraId="0DA9CAE5" w14:textId="77777777" w:rsidR="000953D0" w:rsidRDefault="00000000">
            <w:pPr>
              <w:pStyle w:val="Compact"/>
            </w:pPr>
            <w:r>
              <w:t>Stores KeyCloak configuration, realm, client, user, and session data</w:t>
            </w:r>
          </w:p>
        </w:tc>
      </w:tr>
    </w:tbl>
    <w:p w14:paraId="04B87607" w14:textId="0107D15A" w:rsidR="000953D0" w:rsidRDefault="00A430A8">
      <w:pPr>
        <w:pStyle w:val="Heading2"/>
      </w:pPr>
      <w:bookmarkStart w:id="3" w:name="testing-information"/>
      <w:bookmarkEnd w:id="1"/>
      <w:bookmarkEnd w:id="2"/>
      <w:r>
        <w:lastRenderedPageBreak/>
        <w:t xml:space="preserve">2. </w:t>
      </w:r>
      <w:r w:rsidR="00000000">
        <w:t>Testing Information</w:t>
      </w:r>
    </w:p>
    <w:p w14:paraId="33949434" w14:textId="77777777" w:rsidR="000953D0" w:rsidRDefault="00000000">
      <w:pPr>
        <w:pStyle w:val="FirstParagraph"/>
      </w:pPr>
      <w:r>
        <w:t xml:space="preserve">The command </w:t>
      </w:r>
      <w:r w:rsidRPr="00A430A8">
        <w:rPr>
          <w:rStyle w:val="VerbatimChar"/>
          <w:b/>
          <w:bCs/>
        </w:rPr>
        <w:t>make reset</w:t>
      </w:r>
      <w:r>
        <w:t xml:space="preserve"> will stop all containers, delete the keycloak configuration directory, prune the containers, and run the setup.sh bash script.</w:t>
      </w:r>
    </w:p>
    <w:p w14:paraId="6606686E" w14:textId="77777777" w:rsidR="000953D0" w:rsidRDefault="00000000">
      <w:pPr>
        <w:pStyle w:val="Heading3"/>
      </w:pPr>
      <w:bookmarkStart w:id="4" w:name="endpoints-for-testing"/>
      <w:r>
        <w:t>Endpoints for testing</w:t>
      </w:r>
    </w:p>
    <w:tbl>
      <w:tblPr>
        <w:tblStyle w:val="Table"/>
        <w:tblW w:w="4927" w:type="pct"/>
        <w:tblLayout w:type="fixed"/>
        <w:tblLook w:val="0020" w:firstRow="1" w:lastRow="0" w:firstColumn="0" w:lastColumn="0" w:noHBand="0" w:noVBand="0"/>
      </w:tblPr>
      <w:tblGrid>
        <w:gridCol w:w="3407"/>
        <w:gridCol w:w="3181"/>
        <w:gridCol w:w="2848"/>
      </w:tblGrid>
      <w:tr w:rsidR="00A430A8" w14:paraId="620FAEE3" w14:textId="77777777" w:rsidTr="00A430A8">
        <w:trPr>
          <w:cnfStyle w:val="100000000000" w:firstRow="1" w:lastRow="0" w:firstColumn="0" w:lastColumn="0" w:oddVBand="0" w:evenVBand="0" w:oddHBand="0" w:evenHBand="0" w:firstRowFirstColumn="0" w:firstRowLastColumn="0" w:lastRowFirstColumn="0" w:lastRowLastColumn="0"/>
          <w:tblHeader/>
        </w:trPr>
        <w:tc>
          <w:tcPr>
            <w:tcW w:w="3407" w:type="dxa"/>
          </w:tcPr>
          <w:p w14:paraId="1EE12020" w14:textId="77777777" w:rsidR="000953D0" w:rsidRDefault="00000000">
            <w:pPr>
              <w:pStyle w:val="Compact"/>
            </w:pPr>
            <w:r>
              <w:t>URL</w:t>
            </w:r>
          </w:p>
        </w:tc>
        <w:tc>
          <w:tcPr>
            <w:tcW w:w="3181" w:type="dxa"/>
          </w:tcPr>
          <w:p w14:paraId="3D9A2F23" w14:textId="77777777" w:rsidR="000953D0" w:rsidRDefault="00000000">
            <w:pPr>
              <w:pStyle w:val="Compact"/>
            </w:pPr>
            <w:r>
              <w:t>Purpose</w:t>
            </w:r>
          </w:p>
        </w:tc>
        <w:tc>
          <w:tcPr>
            <w:tcW w:w="2848" w:type="dxa"/>
          </w:tcPr>
          <w:p w14:paraId="5F0F1E71" w14:textId="77777777" w:rsidR="000953D0" w:rsidRDefault="00000000">
            <w:pPr>
              <w:pStyle w:val="Compact"/>
            </w:pPr>
            <w:r>
              <w:t>Credentials</w:t>
            </w:r>
          </w:p>
        </w:tc>
      </w:tr>
      <w:tr w:rsidR="00A430A8" w14:paraId="2CFFD2D7" w14:textId="77777777" w:rsidTr="00A430A8">
        <w:tc>
          <w:tcPr>
            <w:tcW w:w="3407" w:type="dxa"/>
          </w:tcPr>
          <w:p w14:paraId="0EB53281" w14:textId="77777777" w:rsidR="000953D0" w:rsidRDefault="00000000">
            <w:pPr>
              <w:pStyle w:val="Compact"/>
            </w:pPr>
            <w:r>
              <w:t>http://localhost:5000</w:t>
            </w:r>
          </w:p>
        </w:tc>
        <w:tc>
          <w:tcPr>
            <w:tcW w:w="3181" w:type="dxa"/>
          </w:tcPr>
          <w:p w14:paraId="585F31E3" w14:textId="77777777" w:rsidR="000953D0" w:rsidRDefault="00000000">
            <w:pPr>
              <w:pStyle w:val="Compact"/>
            </w:pPr>
            <w:r>
              <w:t>Landing Page for Flask App</w:t>
            </w:r>
          </w:p>
        </w:tc>
        <w:tc>
          <w:tcPr>
            <w:tcW w:w="2848" w:type="dxa"/>
          </w:tcPr>
          <w:p w14:paraId="5709C60D" w14:textId="77777777" w:rsidR="000953D0" w:rsidRDefault="00000000">
            <w:pPr>
              <w:pStyle w:val="Compact"/>
            </w:pPr>
            <w:r>
              <w:t>N/A</w:t>
            </w:r>
          </w:p>
        </w:tc>
      </w:tr>
      <w:tr w:rsidR="00A430A8" w14:paraId="3EBF01B0" w14:textId="77777777" w:rsidTr="00A430A8">
        <w:tc>
          <w:tcPr>
            <w:tcW w:w="3407" w:type="dxa"/>
          </w:tcPr>
          <w:p w14:paraId="6D484E15" w14:textId="77777777" w:rsidR="000953D0" w:rsidRDefault="00000000">
            <w:pPr>
              <w:pStyle w:val="Compact"/>
            </w:pPr>
            <w:r>
              <w:t>http://localhost:5000/login</w:t>
            </w:r>
          </w:p>
        </w:tc>
        <w:tc>
          <w:tcPr>
            <w:tcW w:w="3181" w:type="dxa"/>
          </w:tcPr>
          <w:p w14:paraId="09E85C84" w14:textId="77777777" w:rsidR="000953D0" w:rsidRDefault="00000000">
            <w:pPr>
              <w:pStyle w:val="Compact"/>
            </w:pPr>
            <w:r>
              <w:t>Login Workflow</w:t>
            </w:r>
          </w:p>
        </w:tc>
        <w:tc>
          <w:tcPr>
            <w:tcW w:w="2848" w:type="dxa"/>
          </w:tcPr>
          <w:p w14:paraId="4BC6FD2F" w14:textId="77777777" w:rsidR="00A430A8" w:rsidRDefault="00000000">
            <w:pPr>
              <w:pStyle w:val="Compact"/>
            </w:pPr>
            <w:r>
              <w:t xml:space="preserve">U: testuser </w:t>
            </w:r>
          </w:p>
          <w:p w14:paraId="3231E22F" w14:textId="0B5B61E3" w:rsidR="000953D0" w:rsidRDefault="00000000">
            <w:pPr>
              <w:pStyle w:val="Compact"/>
            </w:pPr>
            <w:r>
              <w:t>P: testpassword</w:t>
            </w:r>
          </w:p>
        </w:tc>
      </w:tr>
      <w:tr w:rsidR="00A430A8" w14:paraId="6A51B263" w14:textId="77777777" w:rsidTr="00A430A8">
        <w:tc>
          <w:tcPr>
            <w:tcW w:w="3407" w:type="dxa"/>
          </w:tcPr>
          <w:p w14:paraId="40B083E5" w14:textId="77777777" w:rsidR="000953D0" w:rsidRDefault="00000000">
            <w:pPr>
              <w:pStyle w:val="Compact"/>
            </w:pPr>
            <w:r>
              <w:t>http://localhost:8080</w:t>
            </w:r>
          </w:p>
        </w:tc>
        <w:tc>
          <w:tcPr>
            <w:tcW w:w="3181" w:type="dxa"/>
          </w:tcPr>
          <w:p w14:paraId="4EC0C28E" w14:textId="77777777" w:rsidR="000953D0" w:rsidRDefault="00000000">
            <w:pPr>
              <w:pStyle w:val="Compact"/>
            </w:pPr>
            <w:r>
              <w:t>KeyCloak Administration</w:t>
            </w:r>
          </w:p>
        </w:tc>
        <w:tc>
          <w:tcPr>
            <w:tcW w:w="2848" w:type="dxa"/>
          </w:tcPr>
          <w:p w14:paraId="53F49DAC" w14:textId="77777777" w:rsidR="000953D0" w:rsidRDefault="00000000">
            <w:pPr>
              <w:pStyle w:val="Compact"/>
            </w:pPr>
            <w:r>
              <w:t>U: admin P: admin</w:t>
            </w:r>
          </w:p>
        </w:tc>
      </w:tr>
    </w:tbl>
    <w:p w14:paraId="5B35772D" w14:textId="77777777" w:rsidR="000953D0" w:rsidRDefault="00000000">
      <w:pPr>
        <w:pStyle w:val="Heading3"/>
      </w:pPr>
      <w:bookmarkStart w:id="5" w:name="keycloak-configuration"/>
      <w:bookmarkEnd w:id="4"/>
      <w:r>
        <w:t>KeyCloak Configuration</w:t>
      </w:r>
    </w:p>
    <w:p w14:paraId="2D29D2D0" w14:textId="77777777" w:rsidR="000953D0" w:rsidRDefault="00000000" w:rsidP="00A430A8">
      <w:pPr>
        <w:pStyle w:val="Compact"/>
      </w:pPr>
      <w:r>
        <w:t>Realm: hw8</w:t>
      </w:r>
    </w:p>
    <w:p w14:paraId="38894AC2" w14:textId="77777777" w:rsidR="000953D0" w:rsidRDefault="00000000" w:rsidP="00A430A8">
      <w:pPr>
        <w:pStyle w:val="Compact"/>
      </w:pPr>
      <w:r>
        <w:t>Client: flask-api-client</w:t>
      </w:r>
    </w:p>
    <w:p w14:paraId="0605BC1D" w14:textId="77777777" w:rsidR="000953D0" w:rsidRDefault="00000000" w:rsidP="00A430A8">
      <w:pPr>
        <w:pStyle w:val="Compact"/>
      </w:pPr>
      <w:r>
        <w:t>User: testuser</w:t>
      </w:r>
    </w:p>
    <w:p w14:paraId="4389E5C1" w14:textId="77777777" w:rsidR="00A430A8" w:rsidRDefault="00A430A8" w:rsidP="00A430A8">
      <w:pPr>
        <w:pStyle w:val="Compact"/>
      </w:pPr>
    </w:p>
    <w:p w14:paraId="4B7AA552" w14:textId="2FB20B7B" w:rsidR="00A430A8" w:rsidRDefault="00A430A8" w:rsidP="00A430A8">
      <w:pPr>
        <w:pStyle w:val="Compact"/>
      </w:pPr>
      <w:r>
        <w:t>Realm Roles: app_admin, app_user</w:t>
      </w:r>
    </w:p>
    <w:p w14:paraId="3BBE329C" w14:textId="0337B529" w:rsidR="00A430A8" w:rsidRDefault="00A430A8" w:rsidP="00A430A8">
      <w:pPr>
        <w:pStyle w:val="Compact"/>
      </w:pPr>
      <w:r>
        <w:t>Client Roles: task_reader, task_writer</w:t>
      </w:r>
    </w:p>
    <w:p w14:paraId="250E4A87" w14:textId="77777777" w:rsidR="000953D0" w:rsidRDefault="00000000">
      <w:pPr>
        <w:pStyle w:val="Heading2"/>
      </w:pPr>
      <w:bookmarkStart w:id="6" w:name="oauth-2.0-and-oidc-flows"/>
      <w:bookmarkEnd w:id="3"/>
      <w:bookmarkEnd w:id="5"/>
      <w:r>
        <w:lastRenderedPageBreak/>
        <w:t>3. OAuth 2.0 and OIDC Flows</w:t>
      </w:r>
    </w:p>
    <w:p w14:paraId="304DD40B" w14:textId="77777777" w:rsidR="000953D0" w:rsidRDefault="00000000">
      <w:pPr>
        <w:pStyle w:val="Heading3"/>
      </w:pPr>
      <w:bookmarkStart w:id="7" w:name="user-login-workflow"/>
      <w:r>
        <w:t>User Login Workflow</w:t>
      </w:r>
    </w:p>
    <w:p w14:paraId="34CC69E9" w14:textId="77777777" w:rsidR="000953D0" w:rsidRDefault="00000000" w:rsidP="00A430A8">
      <w:pPr>
        <w:pStyle w:val="CaptionedFigure"/>
        <w:jc w:val="center"/>
      </w:pPr>
      <w:r>
        <w:rPr>
          <w:noProof/>
        </w:rPr>
        <w:drawing>
          <wp:inline distT="0" distB="0" distL="0" distR="0" wp14:anchorId="24F8FFCF" wp14:editId="4BBD3CCC">
            <wp:extent cx="2843316" cy="7294881"/>
            <wp:effectExtent l="0" t="0" r="0" b="0"/>
            <wp:docPr id="29" name="Picture" descr="User Login Workflow Diagram"/>
            <wp:cNvGraphicFramePr/>
            <a:graphic xmlns:a="http://schemas.openxmlformats.org/drawingml/2006/main">
              <a:graphicData uri="http://schemas.openxmlformats.org/drawingml/2006/picture">
                <pic:pic xmlns:pic="http://schemas.openxmlformats.org/drawingml/2006/picture">
                  <pic:nvPicPr>
                    <pic:cNvPr id="30" name="Picture" descr="../deliverables/UserLoginWorkflow.png"/>
                    <pic:cNvPicPr>
                      <a:picLocks noChangeAspect="1" noChangeArrowheads="1"/>
                    </pic:cNvPicPr>
                  </pic:nvPicPr>
                  <pic:blipFill>
                    <a:blip r:embed="rId6"/>
                    <a:stretch>
                      <a:fillRect/>
                    </a:stretch>
                  </pic:blipFill>
                  <pic:spPr bwMode="auto">
                    <a:xfrm>
                      <a:off x="0" y="0"/>
                      <a:ext cx="2979147" cy="7643373"/>
                    </a:xfrm>
                    <a:prstGeom prst="rect">
                      <a:avLst/>
                    </a:prstGeom>
                    <a:noFill/>
                    <a:ln w="9525">
                      <a:noFill/>
                      <a:headEnd/>
                      <a:tailEnd/>
                    </a:ln>
                  </pic:spPr>
                </pic:pic>
              </a:graphicData>
            </a:graphic>
          </wp:inline>
        </w:drawing>
      </w:r>
    </w:p>
    <w:p w14:paraId="2107E72A" w14:textId="77777777" w:rsidR="000953D0" w:rsidRDefault="00000000" w:rsidP="00A430A8">
      <w:pPr>
        <w:pStyle w:val="ImageCaption"/>
        <w:jc w:val="center"/>
      </w:pPr>
      <w:r>
        <w:t>User Login Workflow Diagram</w:t>
      </w:r>
    </w:p>
    <w:p w14:paraId="473BEFBA" w14:textId="77777777" w:rsidR="000953D0" w:rsidRDefault="00000000">
      <w:pPr>
        <w:pStyle w:val="Heading3"/>
      </w:pPr>
      <w:bookmarkStart w:id="8" w:name="protected-api-access-workflow"/>
      <w:bookmarkEnd w:id="7"/>
      <w:r>
        <w:lastRenderedPageBreak/>
        <w:t>Protected API Access Workflow</w:t>
      </w:r>
    </w:p>
    <w:p w14:paraId="6168989F" w14:textId="77777777" w:rsidR="000953D0" w:rsidRDefault="00000000" w:rsidP="00A430A8">
      <w:pPr>
        <w:pStyle w:val="CaptionedFigure"/>
        <w:jc w:val="center"/>
      </w:pPr>
      <w:r>
        <w:rPr>
          <w:noProof/>
        </w:rPr>
        <w:drawing>
          <wp:inline distT="0" distB="0" distL="0" distR="0" wp14:anchorId="16383536" wp14:editId="53E086F9">
            <wp:extent cx="4351459" cy="7642248"/>
            <wp:effectExtent l="0" t="0" r="0" b="0"/>
            <wp:docPr id="33" name="Picture" descr="Protected API Access Workflow Diagram"/>
            <wp:cNvGraphicFramePr/>
            <a:graphic xmlns:a="http://schemas.openxmlformats.org/drawingml/2006/main">
              <a:graphicData uri="http://schemas.openxmlformats.org/drawingml/2006/picture">
                <pic:pic xmlns:pic="http://schemas.openxmlformats.org/drawingml/2006/picture">
                  <pic:nvPicPr>
                    <pic:cNvPr id="34" name="Picture" descr="../deliverables/ProtectedApiAccessWorkflow.png"/>
                    <pic:cNvPicPr>
                      <a:picLocks noChangeAspect="1" noChangeArrowheads="1"/>
                    </pic:cNvPicPr>
                  </pic:nvPicPr>
                  <pic:blipFill>
                    <a:blip r:embed="rId7"/>
                    <a:stretch>
                      <a:fillRect/>
                    </a:stretch>
                  </pic:blipFill>
                  <pic:spPr bwMode="auto">
                    <a:xfrm>
                      <a:off x="0" y="0"/>
                      <a:ext cx="4566071" cy="8019160"/>
                    </a:xfrm>
                    <a:prstGeom prst="rect">
                      <a:avLst/>
                    </a:prstGeom>
                    <a:noFill/>
                    <a:ln w="9525">
                      <a:noFill/>
                      <a:headEnd/>
                      <a:tailEnd/>
                    </a:ln>
                  </pic:spPr>
                </pic:pic>
              </a:graphicData>
            </a:graphic>
          </wp:inline>
        </w:drawing>
      </w:r>
    </w:p>
    <w:p w14:paraId="04B3F4BD" w14:textId="77777777" w:rsidR="000953D0" w:rsidRDefault="00000000" w:rsidP="00A430A8">
      <w:pPr>
        <w:pStyle w:val="ImageCaption"/>
        <w:jc w:val="center"/>
      </w:pPr>
      <w:r>
        <w:t>Protected API Access Workflow Diagram</w:t>
      </w:r>
    </w:p>
    <w:p w14:paraId="06C0BC7F" w14:textId="5C61CAF1" w:rsidR="000953D0" w:rsidRDefault="00000000">
      <w:pPr>
        <w:pStyle w:val="Heading2"/>
      </w:pPr>
      <w:bookmarkStart w:id="9" w:name="security-analysis"/>
      <w:bookmarkEnd w:id="6"/>
      <w:bookmarkEnd w:id="8"/>
      <w:r>
        <w:lastRenderedPageBreak/>
        <w:t>4. Security Analysis</w:t>
      </w:r>
    </w:p>
    <w:tbl>
      <w:tblPr>
        <w:tblStyle w:val="Table"/>
        <w:tblW w:w="4867" w:type="pct"/>
        <w:tblLayout w:type="fixed"/>
        <w:tblLook w:val="0020" w:firstRow="1" w:lastRow="0" w:firstColumn="0" w:lastColumn="0" w:noHBand="0" w:noVBand="0"/>
      </w:tblPr>
      <w:tblGrid>
        <w:gridCol w:w="1949"/>
        <w:gridCol w:w="2661"/>
        <w:gridCol w:w="2157"/>
        <w:gridCol w:w="2554"/>
      </w:tblGrid>
      <w:tr w:rsidR="003117C0" w14:paraId="6B53337C" w14:textId="77777777" w:rsidTr="003117C0">
        <w:trPr>
          <w:cnfStyle w:val="100000000000" w:firstRow="1" w:lastRow="0" w:firstColumn="0" w:lastColumn="0" w:oddVBand="0" w:evenVBand="0" w:oddHBand="0" w:evenHBand="0" w:firstRowFirstColumn="0" w:firstRowLastColumn="0" w:lastRowFirstColumn="0" w:lastRowLastColumn="0"/>
          <w:tblHeader/>
        </w:trPr>
        <w:tc>
          <w:tcPr>
            <w:tcW w:w="1950" w:type="dxa"/>
          </w:tcPr>
          <w:p w14:paraId="2B0C12B4" w14:textId="77777777" w:rsidR="000953D0" w:rsidRDefault="00000000">
            <w:pPr>
              <w:pStyle w:val="Compact"/>
            </w:pPr>
            <w:r>
              <w:t>Threat Category</w:t>
            </w:r>
          </w:p>
        </w:tc>
        <w:tc>
          <w:tcPr>
            <w:tcW w:w="2661" w:type="dxa"/>
          </w:tcPr>
          <w:p w14:paraId="09365092" w14:textId="77777777" w:rsidR="000953D0" w:rsidRDefault="00000000">
            <w:pPr>
              <w:pStyle w:val="Compact"/>
            </w:pPr>
            <w:r>
              <w:t>Example</w:t>
            </w:r>
          </w:p>
        </w:tc>
        <w:tc>
          <w:tcPr>
            <w:tcW w:w="2157" w:type="dxa"/>
          </w:tcPr>
          <w:p w14:paraId="03BDA7F7" w14:textId="77777777" w:rsidR="000953D0" w:rsidRDefault="00000000">
            <w:pPr>
              <w:pStyle w:val="Compact"/>
            </w:pPr>
            <w:r>
              <w:t>Impact</w:t>
            </w:r>
          </w:p>
        </w:tc>
        <w:tc>
          <w:tcPr>
            <w:tcW w:w="2554" w:type="dxa"/>
          </w:tcPr>
          <w:p w14:paraId="1DE167AE" w14:textId="521A23CF" w:rsidR="000953D0" w:rsidRDefault="00000000">
            <w:pPr>
              <w:pStyle w:val="Compact"/>
            </w:pPr>
            <w:r>
              <w:t>Mitigation</w:t>
            </w:r>
            <w:r w:rsidR="001C4C0E">
              <w:t xml:space="preserve"> Strategy</w:t>
            </w:r>
          </w:p>
        </w:tc>
      </w:tr>
      <w:tr w:rsidR="003117C0" w14:paraId="7F5AE495" w14:textId="77777777" w:rsidTr="003117C0">
        <w:tc>
          <w:tcPr>
            <w:tcW w:w="1950" w:type="dxa"/>
          </w:tcPr>
          <w:p w14:paraId="71EAFB81" w14:textId="77777777" w:rsidR="000953D0" w:rsidRDefault="00000000">
            <w:pPr>
              <w:pStyle w:val="Compact"/>
            </w:pPr>
            <w:r>
              <w:t>Spoofing</w:t>
            </w:r>
          </w:p>
        </w:tc>
        <w:tc>
          <w:tcPr>
            <w:tcW w:w="2661" w:type="dxa"/>
          </w:tcPr>
          <w:p w14:paraId="5EBF6D70" w14:textId="77777777" w:rsidR="000953D0" w:rsidRDefault="00000000">
            <w:pPr>
              <w:pStyle w:val="Compact"/>
            </w:pPr>
            <w:r>
              <w:t>Malicious or malformed tokens accepted as valid</w:t>
            </w:r>
          </w:p>
        </w:tc>
        <w:tc>
          <w:tcPr>
            <w:tcW w:w="2157" w:type="dxa"/>
          </w:tcPr>
          <w:p w14:paraId="70D638FA" w14:textId="77777777" w:rsidR="000953D0" w:rsidRDefault="00000000">
            <w:pPr>
              <w:pStyle w:val="Compact"/>
            </w:pPr>
            <w:r>
              <w:t>Protected endpoints are accessible to unauthenticated users</w:t>
            </w:r>
          </w:p>
        </w:tc>
        <w:tc>
          <w:tcPr>
            <w:tcW w:w="2554" w:type="dxa"/>
          </w:tcPr>
          <w:p w14:paraId="6554C01C" w14:textId="77777777" w:rsidR="000953D0" w:rsidRDefault="00000000">
            <w:pPr>
              <w:pStyle w:val="Compact"/>
            </w:pPr>
            <w:r>
              <w:t>Validate issuer, audience, and expiration with jwt</w:t>
            </w:r>
          </w:p>
        </w:tc>
      </w:tr>
      <w:tr w:rsidR="003117C0" w14:paraId="224CC119" w14:textId="77777777" w:rsidTr="003117C0">
        <w:tc>
          <w:tcPr>
            <w:tcW w:w="1950" w:type="dxa"/>
          </w:tcPr>
          <w:p w14:paraId="5D003657" w14:textId="77777777" w:rsidR="000953D0" w:rsidRDefault="00000000">
            <w:pPr>
              <w:pStyle w:val="Compact"/>
            </w:pPr>
            <w:r>
              <w:t>Tampering</w:t>
            </w:r>
          </w:p>
        </w:tc>
        <w:tc>
          <w:tcPr>
            <w:tcW w:w="2661" w:type="dxa"/>
          </w:tcPr>
          <w:p w14:paraId="6C319E5D" w14:textId="77777777" w:rsidR="000953D0" w:rsidRDefault="00000000">
            <w:pPr>
              <w:pStyle w:val="Compact"/>
            </w:pPr>
            <w:r>
              <w:t>Decoding tokens with verify_signature=false</w:t>
            </w:r>
          </w:p>
        </w:tc>
        <w:tc>
          <w:tcPr>
            <w:tcW w:w="2157" w:type="dxa"/>
          </w:tcPr>
          <w:p w14:paraId="4695522B" w14:textId="77777777" w:rsidR="000953D0" w:rsidRDefault="00000000">
            <w:pPr>
              <w:pStyle w:val="Compact"/>
            </w:pPr>
            <w:r>
              <w:t>Forged tokens accepted</w:t>
            </w:r>
          </w:p>
        </w:tc>
        <w:tc>
          <w:tcPr>
            <w:tcW w:w="2554" w:type="dxa"/>
          </w:tcPr>
          <w:p w14:paraId="697E032D" w14:textId="77777777" w:rsidR="000953D0" w:rsidRDefault="00000000">
            <w:pPr>
              <w:pStyle w:val="Compact"/>
            </w:pPr>
            <w:r>
              <w:t>Validate signatures before decoding tokens</w:t>
            </w:r>
          </w:p>
        </w:tc>
      </w:tr>
      <w:tr w:rsidR="003117C0" w14:paraId="491CBAF4" w14:textId="77777777" w:rsidTr="003117C0">
        <w:tc>
          <w:tcPr>
            <w:tcW w:w="1950" w:type="dxa"/>
          </w:tcPr>
          <w:p w14:paraId="75989733" w14:textId="77777777" w:rsidR="000953D0" w:rsidRDefault="00000000">
            <w:pPr>
              <w:pStyle w:val="Compact"/>
            </w:pPr>
            <w:r>
              <w:t>Repudiation</w:t>
            </w:r>
          </w:p>
        </w:tc>
        <w:tc>
          <w:tcPr>
            <w:tcW w:w="2661" w:type="dxa"/>
          </w:tcPr>
          <w:p w14:paraId="79ED656D" w14:textId="77777777" w:rsidR="000953D0" w:rsidRDefault="00000000">
            <w:pPr>
              <w:pStyle w:val="Compact"/>
            </w:pPr>
            <w:r>
              <w:t>No audit logging of user actions (login, logout, token use)</w:t>
            </w:r>
          </w:p>
        </w:tc>
        <w:tc>
          <w:tcPr>
            <w:tcW w:w="2157" w:type="dxa"/>
          </w:tcPr>
          <w:p w14:paraId="23590800" w14:textId="77777777" w:rsidR="000953D0" w:rsidRDefault="00000000">
            <w:pPr>
              <w:pStyle w:val="Compact"/>
            </w:pPr>
            <w:r>
              <w:t>No traceability</w:t>
            </w:r>
          </w:p>
        </w:tc>
        <w:tc>
          <w:tcPr>
            <w:tcW w:w="2554" w:type="dxa"/>
          </w:tcPr>
          <w:p w14:paraId="2994B627" w14:textId="77777777" w:rsidR="000953D0" w:rsidRDefault="00000000">
            <w:pPr>
              <w:pStyle w:val="Compact"/>
            </w:pPr>
            <w:r>
              <w:t>Log all token and user/admin activity</w:t>
            </w:r>
          </w:p>
        </w:tc>
      </w:tr>
      <w:tr w:rsidR="003117C0" w14:paraId="20E68E26" w14:textId="77777777" w:rsidTr="003117C0">
        <w:tc>
          <w:tcPr>
            <w:tcW w:w="1950" w:type="dxa"/>
          </w:tcPr>
          <w:p w14:paraId="6E3CF2BD" w14:textId="77777777" w:rsidR="000953D0" w:rsidRDefault="00000000">
            <w:pPr>
              <w:pStyle w:val="Compact"/>
            </w:pPr>
            <w:r>
              <w:t>Information Disclosure</w:t>
            </w:r>
          </w:p>
        </w:tc>
        <w:tc>
          <w:tcPr>
            <w:tcW w:w="2661" w:type="dxa"/>
          </w:tcPr>
          <w:p w14:paraId="33391D2B" w14:textId="77777777" w:rsidR="000953D0" w:rsidRDefault="00000000">
            <w:pPr>
              <w:pStyle w:val="Compact"/>
            </w:pPr>
            <w:r>
              <w:t>Exposed or hard-coded environment variables</w:t>
            </w:r>
          </w:p>
        </w:tc>
        <w:tc>
          <w:tcPr>
            <w:tcW w:w="2157" w:type="dxa"/>
          </w:tcPr>
          <w:p w14:paraId="3120D2AA" w14:textId="77777777" w:rsidR="000953D0" w:rsidRDefault="00000000">
            <w:pPr>
              <w:pStyle w:val="Compact"/>
            </w:pPr>
            <w:r>
              <w:t>Credential Leak</w:t>
            </w:r>
          </w:p>
        </w:tc>
        <w:tc>
          <w:tcPr>
            <w:tcW w:w="2554" w:type="dxa"/>
          </w:tcPr>
          <w:p w14:paraId="533E87A4" w14:textId="77777777" w:rsidR="000953D0" w:rsidRDefault="00000000">
            <w:pPr>
              <w:pStyle w:val="Compact"/>
            </w:pPr>
            <w:r>
              <w:t>Use .env files with restricted permissions</w:t>
            </w:r>
          </w:p>
        </w:tc>
      </w:tr>
      <w:tr w:rsidR="003117C0" w14:paraId="1AB9CEEF" w14:textId="77777777" w:rsidTr="003117C0">
        <w:tc>
          <w:tcPr>
            <w:tcW w:w="1950" w:type="dxa"/>
          </w:tcPr>
          <w:p w14:paraId="47E80D0A" w14:textId="77777777" w:rsidR="000953D0" w:rsidRDefault="00000000">
            <w:pPr>
              <w:pStyle w:val="Compact"/>
            </w:pPr>
            <w:r>
              <w:t>Denial of Service</w:t>
            </w:r>
          </w:p>
        </w:tc>
        <w:tc>
          <w:tcPr>
            <w:tcW w:w="2661" w:type="dxa"/>
          </w:tcPr>
          <w:p w14:paraId="2C490C2E" w14:textId="77777777" w:rsidR="000953D0" w:rsidRDefault="00000000">
            <w:pPr>
              <w:pStyle w:val="Compact"/>
            </w:pPr>
            <w:r>
              <w:t>No rate limiting on endpoints</w:t>
            </w:r>
          </w:p>
        </w:tc>
        <w:tc>
          <w:tcPr>
            <w:tcW w:w="2157" w:type="dxa"/>
          </w:tcPr>
          <w:p w14:paraId="0965087F" w14:textId="77777777" w:rsidR="000953D0" w:rsidRDefault="00000000">
            <w:pPr>
              <w:pStyle w:val="Compact"/>
            </w:pPr>
            <w:r>
              <w:t>API resource exhaustion</w:t>
            </w:r>
          </w:p>
        </w:tc>
        <w:tc>
          <w:tcPr>
            <w:tcW w:w="2554" w:type="dxa"/>
          </w:tcPr>
          <w:p w14:paraId="0403A411" w14:textId="77777777" w:rsidR="000953D0" w:rsidRDefault="00000000">
            <w:pPr>
              <w:pStyle w:val="Compact"/>
            </w:pPr>
            <w:r>
              <w:t>Add request throttling and healthcheck isolation</w:t>
            </w:r>
          </w:p>
        </w:tc>
      </w:tr>
      <w:tr w:rsidR="003117C0" w14:paraId="042B1382" w14:textId="77777777" w:rsidTr="003117C0">
        <w:tc>
          <w:tcPr>
            <w:tcW w:w="1950" w:type="dxa"/>
          </w:tcPr>
          <w:p w14:paraId="6544677C" w14:textId="77777777" w:rsidR="000953D0" w:rsidRDefault="00000000">
            <w:pPr>
              <w:pStyle w:val="Compact"/>
            </w:pPr>
            <w:r>
              <w:t>Elevation of Privilege</w:t>
            </w:r>
          </w:p>
        </w:tc>
        <w:tc>
          <w:tcPr>
            <w:tcW w:w="2661" w:type="dxa"/>
          </w:tcPr>
          <w:p w14:paraId="0C42F6E3" w14:textId="77777777" w:rsidR="000953D0" w:rsidRDefault="00000000">
            <w:pPr>
              <w:pStyle w:val="Compact"/>
            </w:pPr>
            <w:r>
              <w:t>Tokens include unverified role claims</w:t>
            </w:r>
          </w:p>
        </w:tc>
        <w:tc>
          <w:tcPr>
            <w:tcW w:w="2157" w:type="dxa"/>
          </w:tcPr>
          <w:p w14:paraId="00061918" w14:textId="77777777" w:rsidR="000953D0" w:rsidRDefault="00000000">
            <w:pPr>
              <w:pStyle w:val="Compact"/>
            </w:pPr>
            <w:r>
              <w:t>Authorization bypass</w:t>
            </w:r>
          </w:p>
        </w:tc>
        <w:tc>
          <w:tcPr>
            <w:tcW w:w="2554" w:type="dxa"/>
          </w:tcPr>
          <w:p w14:paraId="04FD4ACB" w14:textId="77777777" w:rsidR="000953D0" w:rsidRDefault="00000000">
            <w:pPr>
              <w:pStyle w:val="Compact"/>
            </w:pPr>
            <w:r>
              <w:t>Validate roles for realm and client resource access</w:t>
            </w:r>
          </w:p>
        </w:tc>
      </w:tr>
    </w:tbl>
    <w:p w14:paraId="3641C104" w14:textId="77777777" w:rsidR="00A430A8" w:rsidRDefault="00A430A8">
      <w:pPr>
        <w:pStyle w:val="Heading2"/>
      </w:pPr>
      <w:bookmarkStart w:id="10" w:name="okta-case-study"/>
      <w:bookmarkEnd w:id="9"/>
    </w:p>
    <w:p w14:paraId="0F503FC5" w14:textId="77777777" w:rsidR="00A430A8" w:rsidRDefault="00A430A8">
      <w:pPr>
        <w:rPr>
          <w:rFonts w:asciiTheme="majorHAnsi" w:eastAsiaTheme="majorEastAsia" w:hAnsiTheme="majorHAnsi" w:cstheme="majorBidi"/>
          <w:color w:val="0F4761" w:themeColor="accent1" w:themeShade="BF"/>
          <w:sz w:val="32"/>
          <w:szCs w:val="32"/>
        </w:rPr>
      </w:pPr>
      <w:r>
        <w:br w:type="page"/>
      </w:r>
    </w:p>
    <w:p w14:paraId="0398277C" w14:textId="13967D43" w:rsidR="000953D0" w:rsidRDefault="00000000">
      <w:pPr>
        <w:pStyle w:val="Heading2"/>
      </w:pPr>
      <w:r>
        <w:lastRenderedPageBreak/>
        <w:t>5. Okta Case Study</w:t>
      </w:r>
    </w:p>
    <w:p w14:paraId="7F2F6560" w14:textId="77777777" w:rsidR="000953D0" w:rsidRDefault="00000000">
      <w:pPr>
        <w:pStyle w:val="FirstParagraph"/>
      </w:pPr>
      <w:r>
        <w:t>The Okta breach is a good example of how to effectively manage third-party vendor access. Malicious acttors compromised a vendor workstation that had limited access to Okta resources. The malicious actors only had access for 25 minutes, and were unable to make any configuration changes or authenticate to user accounts (Day &amp; Booker, 2024). The attacker was able to view some information on Slack and Jira pages for Okta customers, which indicates there is room for improvement in the security posture of those systems. The core Okta resources, however, were adequately protected by Okta’s robust security controls around their IAM solutions which appear to employ a hybrid of ZTA and DID.</w:t>
      </w:r>
    </w:p>
    <w:p w14:paraId="2B76B151" w14:textId="77777777" w:rsidR="00A430A8" w:rsidRDefault="00A430A8">
      <w:pPr>
        <w:pStyle w:val="Heading2"/>
        <w:rPr>
          <w:rFonts w:asciiTheme="minorHAnsi" w:eastAsiaTheme="minorHAnsi" w:hAnsiTheme="minorHAnsi" w:cstheme="minorBidi"/>
          <w:color w:val="auto"/>
          <w:sz w:val="24"/>
          <w:szCs w:val="24"/>
        </w:rPr>
      </w:pPr>
      <w:bookmarkStart w:id="11" w:name="references"/>
      <w:bookmarkEnd w:id="10"/>
      <w:r w:rsidRPr="00A430A8">
        <w:rPr>
          <w:rFonts w:asciiTheme="minorHAnsi" w:eastAsiaTheme="minorHAnsi" w:hAnsiTheme="minorHAnsi" w:cstheme="minorBidi"/>
          <w:color w:val="auto"/>
          <w:sz w:val="24"/>
          <w:szCs w:val="24"/>
        </w:rPr>
        <w:t xml:space="preserve">Some of Okta's downstream customers did notice attempts to compromise their services, but they had robust security controls in place to stop them (Mallarapu, 2025). Session cookies were a key component of this incident, which drove the decision to ignore session cookies in the design for this assignment. The cookies are set, but they are ignored by the API endpoints through the token_required decorator. This requires requests to the endpoint to explicitly include the authorization token in the header and adopts statelessness for API endpoints. This reduces the risk of CSRF and session-hijacking attacks since the tokens cannot be exploited through session cookies. </w:t>
      </w:r>
    </w:p>
    <w:p w14:paraId="64CC4392" w14:textId="77777777" w:rsidR="00A430A8" w:rsidRDefault="00A430A8">
      <w:pPr>
        <w:pStyle w:val="Heading2"/>
      </w:pPr>
    </w:p>
    <w:p w14:paraId="3AEF9C47" w14:textId="117230F1" w:rsidR="000953D0" w:rsidRDefault="00000000">
      <w:pPr>
        <w:pStyle w:val="Heading2"/>
      </w:pPr>
      <w:r>
        <w:t>6. References</w:t>
      </w:r>
    </w:p>
    <w:p w14:paraId="154B32DA" w14:textId="77777777" w:rsidR="000953D0" w:rsidRDefault="00000000" w:rsidP="00A430A8">
      <w:pPr>
        <w:pStyle w:val="Compact"/>
        <w:ind w:left="720" w:hanging="720"/>
      </w:pPr>
      <w:r>
        <w:t xml:space="preserve">Day, K., &amp; Booker, Q. (2024). Market Reactions to Cybersecurity Incidents: A Case Study Approach. </w:t>
      </w:r>
      <w:r>
        <w:rPr>
          <w:i/>
          <w:iCs/>
        </w:rPr>
        <w:t>Issues in Information Systems</w:t>
      </w:r>
      <w:r>
        <w:t>, 25(4), 260–276. https://doi.org/10.48009/4_iis_2024_121</w:t>
      </w:r>
    </w:p>
    <w:p w14:paraId="00EA8D9F" w14:textId="77777777" w:rsidR="000953D0" w:rsidRDefault="00000000" w:rsidP="00A430A8">
      <w:pPr>
        <w:pStyle w:val="Compact"/>
        <w:ind w:left="720" w:hanging="720"/>
      </w:pPr>
      <w:r>
        <w:t>Mallarapu, R. (2025). Week-8: Identity &amp; Access Management (IAM) [Electronic]. The George Washington University.</w:t>
      </w:r>
      <w:bookmarkEnd w:id="0"/>
      <w:bookmarkEnd w:id="11"/>
    </w:p>
    <w:sectPr w:rsidR="000953D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5A2A8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9E655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96047923">
    <w:abstractNumId w:val="0"/>
  </w:num>
  <w:num w:numId="2" w16cid:durableId="1516529479">
    <w:abstractNumId w:val="1"/>
  </w:num>
  <w:num w:numId="3" w16cid:durableId="236405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953D0"/>
    <w:rsid w:val="000953D0"/>
    <w:rsid w:val="001C4C0E"/>
    <w:rsid w:val="003117C0"/>
    <w:rsid w:val="008B7AC1"/>
    <w:rsid w:val="00A4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50294"/>
  <w15:docId w15:val="{F04DEB26-8F3F-CF4B-8641-02CFC00B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619</Words>
  <Characters>3250</Characters>
  <Application>Microsoft Office Word</Application>
  <DocSecurity>0</DocSecurity>
  <Lines>45</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Troop, Craig D</cp:lastModifiedBy>
  <cp:revision>3</cp:revision>
  <dcterms:created xsi:type="dcterms:W3CDTF">2025-05-23T14:05:00Z</dcterms:created>
  <dcterms:modified xsi:type="dcterms:W3CDTF">2025-05-23T14:17:00Z</dcterms:modified>
</cp:coreProperties>
</file>