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4E78C" w14:textId="77777777" w:rsidR="00EE2649" w:rsidRDefault="00B357D6">
      <w:pPr>
        <w:rPr>
          <w:rFonts w:asciiTheme="majorHAnsi" w:hAnsiTheme="majorHAnsi" w:cstheme="majorHAnsi"/>
        </w:rPr>
      </w:pPr>
      <w:r>
        <w:rPr>
          <w:rFonts w:asciiTheme="majorHAnsi" w:hAnsiTheme="majorHAnsi" w:cstheme="majorHAnsi"/>
          <w:b/>
          <w:bCs/>
        </w:rPr>
        <w:t>Source</w:t>
      </w:r>
      <w:r>
        <w:rPr>
          <w:rFonts w:asciiTheme="majorHAnsi" w:hAnsiTheme="majorHAnsi" w:cstheme="majorHAnsi"/>
        </w:rPr>
        <w:t>:</w:t>
      </w:r>
      <w:r>
        <w:rPr>
          <w:rFonts w:asciiTheme="majorHAnsi" w:hAnsiTheme="majorHAnsi" w:cstheme="majorHAnsi"/>
        </w:rPr>
        <w:tab/>
        <w:t xml:space="preserve"> Internal Displacement Monitoring Centre (IDMC)</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3113C997" w14:textId="77777777" w:rsidR="00EE2649" w:rsidRDefault="00B357D6">
      <w:pPr>
        <w:rPr>
          <w:rFonts w:asciiTheme="majorHAnsi" w:hAnsiTheme="majorHAnsi" w:cstheme="majorHAnsi"/>
        </w:rPr>
      </w:pPr>
      <w:r>
        <w:rPr>
          <w:rFonts w:asciiTheme="majorHAnsi" w:hAnsiTheme="majorHAnsi" w:cstheme="majorHAnsi"/>
          <w:b/>
          <w:bCs/>
        </w:rPr>
        <w:t>Last updated:</w:t>
      </w:r>
      <w:r>
        <w:rPr>
          <w:rFonts w:asciiTheme="majorHAnsi" w:hAnsiTheme="majorHAnsi" w:cstheme="majorHAnsi"/>
        </w:rPr>
        <w:tab/>
        <w:t>19-May-2021</w:t>
      </w:r>
      <w:r>
        <w:rPr>
          <w:rFonts w:asciiTheme="majorHAnsi" w:hAnsiTheme="majorHAnsi" w:cstheme="majorHAnsi"/>
        </w:rPr>
        <w:tab/>
      </w:r>
    </w:p>
    <w:p w14:paraId="5F2976A0" w14:textId="77777777" w:rsidR="00EE2649" w:rsidRDefault="00B357D6">
      <w:pPr>
        <w:spacing w:after="0"/>
        <w:rPr>
          <w:rFonts w:asciiTheme="majorHAnsi" w:hAnsiTheme="majorHAnsi" w:cstheme="majorHAnsi"/>
          <w:sz w:val="21"/>
          <w:szCs w:val="21"/>
        </w:rPr>
      </w:pPr>
      <w:r>
        <w:rPr>
          <w:rFonts w:asciiTheme="majorHAnsi" w:hAnsiTheme="majorHAnsi" w:cstheme="majorHAnsi"/>
          <w:b/>
          <w:bCs/>
        </w:rPr>
        <w:t>Methodology and definitions:</w:t>
      </w:r>
      <w:r>
        <w:rPr>
          <w:rFonts w:asciiTheme="majorHAnsi" w:hAnsiTheme="majorHAnsi" w:cstheme="majorHAnsi"/>
        </w:rPr>
        <w:t xml:space="preserve"> </w:t>
      </w:r>
      <w:hyperlink r:id="rId8" w:tgtFrame="https://www.internal-displacement.org/monitoring-tools">
        <w:r>
          <w:rPr>
            <w:rStyle w:val="Hyperlink"/>
            <w:rFonts w:asciiTheme="majorHAnsi" w:hAnsiTheme="majorHAnsi" w:cstheme="majorHAnsi"/>
            <w:sz w:val="21"/>
            <w:szCs w:val="21"/>
          </w:rPr>
          <w:t>https://www.internal-displacement.org/monitoring-tools</w:t>
        </w:r>
      </w:hyperlink>
    </w:p>
    <w:p w14:paraId="54B8D0FC" w14:textId="77777777" w:rsidR="00EE2649" w:rsidRDefault="00EE2649">
      <w:pPr>
        <w:rPr>
          <w:rFonts w:asciiTheme="majorHAnsi" w:hAnsiTheme="majorHAnsi" w:cstheme="majorHAnsi"/>
        </w:rPr>
      </w:pPr>
    </w:p>
    <w:p w14:paraId="51362CDC" w14:textId="77777777" w:rsidR="00EE2649" w:rsidRDefault="00B357D6">
      <w:pPr>
        <w:pStyle w:val="ListParagraph"/>
        <w:numPr>
          <w:ilvl w:val="0"/>
          <w:numId w:val="1"/>
        </w:numPr>
        <w:rPr>
          <w:rFonts w:asciiTheme="majorHAnsi" w:hAnsiTheme="majorHAnsi" w:cstheme="majorHAnsi"/>
          <w:b/>
          <w:bCs/>
        </w:rPr>
      </w:pPr>
      <w:r>
        <w:rPr>
          <w:rFonts w:asciiTheme="majorHAnsi" w:hAnsiTheme="majorHAnsi" w:cstheme="majorHAnsi"/>
          <w:b/>
          <w:bCs/>
        </w:rPr>
        <w:t>Internal displacements</w:t>
      </w:r>
      <w:r>
        <w:rPr>
          <w:rFonts w:asciiTheme="majorHAnsi" w:hAnsiTheme="majorHAnsi" w:cstheme="majorHAnsi"/>
        </w:rPr>
        <w:t xml:space="preserve"> correspond to the estimated number of interna</w:t>
      </w:r>
      <w:r>
        <w:rPr>
          <w:rFonts w:asciiTheme="majorHAnsi" w:hAnsiTheme="majorHAnsi" w:cstheme="majorHAnsi"/>
        </w:rPr>
        <w:t xml:space="preserve">l displacements over a given </w:t>
      </w:r>
      <w:proofErr w:type="gramStart"/>
      <w:r>
        <w:rPr>
          <w:rFonts w:asciiTheme="majorHAnsi" w:hAnsiTheme="majorHAnsi" w:cstheme="majorHAnsi"/>
        </w:rPr>
        <w:t>period of time</w:t>
      </w:r>
      <w:proofErr w:type="gramEnd"/>
      <w:r>
        <w:rPr>
          <w:rFonts w:asciiTheme="majorHAnsi" w:hAnsiTheme="majorHAnsi" w:cstheme="majorHAnsi"/>
        </w:rPr>
        <w:t xml:space="preserve"> (reporting year). Figures may include individuals who have been displaced more than once.</w:t>
      </w:r>
    </w:p>
    <w:p w14:paraId="2663E18B" w14:textId="77777777" w:rsidR="00EE2649" w:rsidRDefault="00B357D6">
      <w:pPr>
        <w:pStyle w:val="ListParagraph"/>
        <w:numPr>
          <w:ilvl w:val="0"/>
          <w:numId w:val="1"/>
        </w:numPr>
        <w:rPr>
          <w:rFonts w:asciiTheme="majorHAnsi" w:hAnsiTheme="majorHAnsi" w:cstheme="majorHAnsi"/>
          <w:b/>
          <w:bCs/>
        </w:rPr>
      </w:pPr>
      <w:r>
        <w:rPr>
          <w:rFonts w:asciiTheme="majorHAnsi" w:hAnsiTheme="majorHAnsi" w:cstheme="majorHAnsi"/>
          <w:b/>
          <w:bCs/>
        </w:rPr>
        <w:t xml:space="preserve">Total number of IDPs: </w:t>
      </w:r>
      <w:r>
        <w:rPr>
          <w:rFonts w:asciiTheme="majorHAnsi" w:hAnsiTheme="majorHAnsi" w:cstheme="majorHAnsi"/>
        </w:rPr>
        <w:t>Represents the total number of Internal displaced Person “IDPs”, as of the end of the year. It could</w:t>
      </w:r>
      <w:r>
        <w:rPr>
          <w:rFonts w:asciiTheme="majorHAnsi" w:hAnsiTheme="majorHAnsi" w:cstheme="majorHAnsi"/>
        </w:rPr>
        <w:t xml:space="preserve"> be understood as the total number of people living in a situation of displacement as of the end of the reporting year.</w:t>
      </w:r>
    </w:p>
    <w:p w14:paraId="60D0615E" w14:textId="77777777" w:rsidR="00EE2649" w:rsidRDefault="00EE2649">
      <w:pPr>
        <w:rPr>
          <w:rFonts w:asciiTheme="majorHAnsi" w:hAnsiTheme="majorHAnsi" w:cstheme="majorHAnsi"/>
          <w:b/>
          <w:bCs/>
        </w:rPr>
      </w:pPr>
    </w:p>
    <w:p w14:paraId="3534451E" w14:textId="77777777" w:rsidR="00EE2649" w:rsidRDefault="00B357D6">
      <w:pPr>
        <w:rPr>
          <w:rFonts w:asciiTheme="majorHAnsi" w:hAnsiTheme="majorHAnsi" w:cstheme="majorHAnsi"/>
        </w:rPr>
      </w:pPr>
      <w:r>
        <w:rPr>
          <w:rFonts w:asciiTheme="majorHAnsi" w:hAnsiTheme="majorHAnsi" w:cstheme="majorHAnsi"/>
          <w:b/>
          <w:bCs/>
        </w:rPr>
        <w:t>Use license:</w:t>
      </w:r>
      <w:r>
        <w:rPr>
          <w:rFonts w:asciiTheme="majorHAnsi" w:hAnsiTheme="majorHAnsi" w:cstheme="majorHAnsi"/>
        </w:rPr>
        <w:t xml:space="preserve">  Content is licensed under CC BY-NC (See: https://creativecommons.org/licenses/by-nc/4.0/)</w:t>
      </w:r>
    </w:p>
    <w:p w14:paraId="314C4DF1" w14:textId="77777777" w:rsidR="00EE2649" w:rsidRDefault="00B357D6">
      <w:pPr>
        <w:rPr>
          <w:rFonts w:asciiTheme="majorHAnsi" w:eastAsia="Times New Roman" w:hAnsiTheme="majorHAnsi" w:cstheme="majorHAnsi"/>
        </w:rPr>
      </w:pPr>
      <w:r>
        <w:rPr>
          <w:rFonts w:asciiTheme="majorHAnsi" w:hAnsiTheme="majorHAnsi" w:cstheme="majorHAnsi"/>
          <w:b/>
          <w:bCs/>
        </w:rPr>
        <w:t>Suggestion for citations:</w:t>
      </w:r>
      <w:r>
        <w:rPr>
          <w:rFonts w:asciiTheme="majorHAnsi" w:hAnsiTheme="majorHAnsi" w:cstheme="majorHAnsi"/>
        </w:rPr>
        <w:t xml:space="preserve">  </w:t>
      </w:r>
      <w:r>
        <w:rPr>
          <w:rFonts w:asciiTheme="majorHAnsi" w:eastAsia="Times New Roman" w:hAnsiTheme="majorHAnsi" w:cstheme="majorHAnsi"/>
        </w:rPr>
        <w:t>Inte</w:t>
      </w:r>
      <w:r>
        <w:rPr>
          <w:rFonts w:asciiTheme="majorHAnsi" w:eastAsia="Times New Roman" w:hAnsiTheme="majorHAnsi" w:cstheme="majorHAnsi"/>
        </w:rPr>
        <w:t xml:space="preserve">rnal Displacement Monitoring Centre (IDMC). “Global Internal Displacement Database” Data (2022). </w:t>
      </w:r>
      <w:hyperlink r:id="rId9">
        <w:r>
          <w:rPr>
            <w:rStyle w:val="Hyperlink"/>
            <w:rFonts w:asciiTheme="majorHAnsi" w:eastAsia="Times New Roman" w:hAnsiTheme="majorHAnsi" w:cstheme="majorHAnsi"/>
          </w:rPr>
          <w:t>https://www.internal-displacement.org/database/displacement-data</w:t>
        </w:r>
      </w:hyperlink>
      <w:r>
        <w:rPr>
          <w:rFonts w:asciiTheme="majorHAnsi" w:eastAsia="Times New Roman" w:hAnsiTheme="majorHAnsi" w:cstheme="majorHAnsi"/>
        </w:rPr>
        <w:t xml:space="preserve"> </w:t>
      </w:r>
      <w:r>
        <w:rPr>
          <w:rFonts w:asciiTheme="majorHAnsi" w:eastAsia="Times New Roman" w:hAnsiTheme="majorHAnsi" w:cstheme="majorHAnsi"/>
        </w:rPr>
        <w:tab/>
      </w:r>
    </w:p>
    <w:p w14:paraId="5756D950" w14:textId="77777777" w:rsidR="00EE2649" w:rsidRDefault="00B357D6">
      <w:pPr>
        <w:spacing w:after="0"/>
        <w:rPr>
          <w:rFonts w:asciiTheme="majorHAnsi" w:eastAsia="Times New Roman" w:hAnsiTheme="majorHAnsi" w:cstheme="majorHAnsi"/>
          <w:b/>
        </w:rPr>
      </w:pPr>
      <w:r>
        <w:rPr>
          <w:rFonts w:asciiTheme="majorHAnsi" w:eastAsia="Times New Roman" w:hAnsiTheme="majorHAnsi" w:cstheme="majorHAnsi"/>
          <w:b/>
        </w:rPr>
        <w:t>Disclaim</w:t>
      </w:r>
      <w:r>
        <w:rPr>
          <w:rFonts w:asciiTheme="majorHAnsi" w:eastAsia="Times New Roman" w:hAnsiTheme="majorHAnsi" w:cstheme="majorHAnsi"/>
          <w:b/>
        </w:rPr>
        <w:t xml:space="preserve">ers: </w:t>
      </w:r>
    </w:p>
    <w:p w14:paraId="39DBA5D5" w14:textId="77777777" w:rsidR="00EE2649" w:rsidRDefault="00EE2649">
      <w:pPr>
        <w:spacing w:after="0"/>
        <w:rPr>
          <w:rFonts w:asciiTheme="majorHAnsi" w:eastAsia="Times New Roman" w:hAnsiTheme="majorHAnsi" w:cstheme="majorHAnsi"/>
        </w:rPr>
      </w:pPr>
    </w:p>
    <w:p w14:paraId="3A75B911" w14:textId="77777777" w:rsidR="00EE2649" w:rsidRDefault="00B357D6">
      <w:pPr>
        <w:pStyle w:val="ListParagraph"/>
        <w:numPr>
          <w:ilvl w:val="0"/>
          <w:numId w:val="2"/>
        </w:numPr>
        <w:spacing w:after="0"/>
        <w:rPr>
          <w:rFonts w:asciiTheme="majorHAnsi" w:eastAsia="Times New Roman" w:hAnsiTheme="majorHAnsi" w:cstheme="majorHAnsi"/>
        </w:rPr>
      </w:pPr>
      <w:r>
        <w:rPr>
          <w:rFonts w:asciiTheme="majorHAnsi" w:eastAsia="Times New Roman" w:hAnsiTheme="majorHAnsi" w:cstheme="majorHAnsi"/>
        </w:rPr>
        <w:t>Names shown, and the designations used do not imply official endorsement or acceptance by IDMC.</w:t>
      </w:r>
    </w:p>
    <w:p w14:paraId="51498F1A" w14:textId="77777777" w:rsidR="00EE2649" w:rsidRDefault="00B357D6">
      <w:pPr>
        <w:pStyle w:val="ListParagraph"/>
        <w:numPr>
          <w:ilvl w:val="0"/>
          <w:numId w:val="2"/>
        </w:numPr>
        <w:spacing w:after="0"/>
        <w:rPr>
          <w:rFonts w:asciiTheme="majorHAnsi" w:eastAsia="Times New Roman" w:hAnsiTheme="majorHAnsi" w:cstheme="majorHAnsi"/>
        </w:rPr>
      </w:pPr>
      <w:r>
        <w:rPr>
          <w:rFonts w:asciiTheme="majorHAnsi" w:hAnsiTheme="majorHAnsi" w:cstheme="majorHAnsi"/>
        </w:rPr>
        <w:t xml:space="preserve">All the figures have been rounded following IDMC's rounding rules (See: </w:t>
      </w:r>
      <w:hyperlink r:id="rId10" w:tgtFrame="https://www.internal-displacement.org/monitoring-tools">
        <w:r>
          <w:rPr>
            <w:rStyle w:val="Hyperlink"/>
            <w:rFonts w:asciiTheme="majorHAnsi" w:hAnsiTheme="majorHAnsi" w:cstheme="majorHAnsi"/>
            <w:sz w:val="21"/>
            <w:szCs w:val="21"/>
          </w:rPr>
          <w:t>https://www.internal-displacement.org/monitoring-tools</w:t>
        </w:r>
      </w:hyperlink>
      <w:r>
        <w:rPr>
          <w:rFonts w:asciiTheme="majorHAnsi" w:hAnsiTheme="majorHAnsi" w:cstheme="majorHAnsi"/>
        </w:rPr>
        <w:t>)</w:t>
      </w:r>
    </w:p>
    <w:p w14:paraId="0E03AEB1" w14:textId="77777777" w:rsidR="00EE2649" w:rsidRDefault="00B357D6">
      <w:pPr>
        <w:pStyle w:val="ListParagraph"/>
        <w:numPr>
          <w:ilvl w:val="0"/>
          <w:numId w:val="2"/>
        </w:numPr>
        <w:spacing w:after="0"/>
        <w:rPr>
          <w:rFonts w:asciiTheme="majorHAnsi" w:eastAsia="Times New Roman" w:hAnsiTheme="majorHAnsi" w:cstheme="majorHAnsi"/>
        </w:rPr>
      </w:pPr>
      <w:r>
        <w:rPr>
          <w:rFonts w:asciiTheme="majorHAnsi" w:hAnsiTheme="majorHAnsi" w:cstheme="majorHAnsi"/>
        </w:rPr>
        <w:t xml:space="preserve">The information provided is contingent upon the availability of data collected by IDMC’s sources and therefore is subject to change. Consequently, </w:t>
      </w:r>
      <w:r>
        <w:rPr>
          <w:rFonts w:asciiTheme="majorHAnsi" w:hAnsiTheme="majorHAnsi" w:cstheme="majorHAnsi"/>
        </w:rPr>
        <w:t>some figures could differ from previous publications due to retroactive changes related to the availability of new data.</w:t>
      </w:r>
    </w:p>
    <w:p w14:paraId="3E517266" w14:textId="77777777" w:rsidR="00EE2649" w:rsidRDefault="00EE2649">
      <w:pPr>
        <w:pStyle w:val="ListParagraph"/>
        <w:spacing w:after="0"/>
        <w:rPr>
          <w:rFonts w:asciiTheme="majorHAnsi" w:eastAsia="Times New Roman" w:hAnsiTheme="majorHAnsi" w:cstheme="majorHAnsi"/>
        </w:rPr>
      </w:pPr>
    </w:p>
    <w:p w14:paraId="559E9270" w14:textId="77777777" w:rsidR="00EE2649" w:rsidRDefault="00B357D6">
      <w:pPr>
        <w:rPr>
          <w:rFonts w:asciiTheme="majorHAnsi" w:eastAsia="Times New Roman" w:hAnsiTheme="majorHAnsi" w:cstheme="majorHAnsi"/>
          <w:b/>
        </w:rPr>
      </w:pPr>
      <w:r>
        <w:rPr>
          <w:rFonts w:asciiTheme="majorHAnsi" w:eastAsia="Times New Roman" w:hAnsiTheme="majorHAnsi" w:cstheme="majorHAnsi"/>
          <w:b/>
        </w:rPr>
        <w:t>Table description:</w:t>
      </w:r>
    </w:p>
    <w:p w14:paraId="3F64B54B" w14:textId="77777777" w:rsidR="00EE2649" w:rsidRDefault="00B357D6">
      <w:pPr>
        <w:rPr>
          <w:rFonts w:asciiTheme="majorHAnsi" w:hAnsiTheme="majorHAnsi" w:cstheme="majorHAnsi"/>
        </w:rPr>
      </w:pPr>
      <w:r>
        <w:rPr>
          <w:rFonts w:asciiTheme="majorHAnsi" w:hAnsiTheme="majorHAnsi" w:cstheme="majorHAnsi"/>
          <w:i/>
          <w:iCs/>
        </w:rPr>
        <w:t>Where (raw) means “not rounded”.</w:t>
      </w:r>
    </w:p>
    <w:p w14:paraId="158BD996" w14:textId="77777777" w:rsidR="00EE2649" w:rsidRDefault="00B357D6">
      <w:pPr>
        <w:spacing w:after="0"/>
        <w:rPr>
          <w:rFonts w:asciiTheme="majorHAnsi" w:hAnsiTheme="majorHAnsi" w:cstheme="majorHAnsi"/>
        </w:rPr>
      </w:pPr>
      <w:r>
        <w:rPr>
          <w:rFonts w:asciiTheme="majorHAnsi" w:hAnsiTheme="majorHAnsi" w:cstheme="majorHAnsi"/>
          <w:b/>
          <w:bCs/>
        </w:rPr>
        <w:t>ISO3:</w:t>
      </w:r>
      <w:r>
        <w:rPr>
          <w:rFonts w:asciiTheme="majorHAnsi" w:hAnsiTheme="majorHAnsi" w:cstheme="majorHAnsi"/>
        </w:rPr>
        <w:t xml:space="preserve"> ISO 3166-1 </w:t>
      </w:r>
      <w:proofErr w:type="gramStart"/>
      <w:r>
        <w:rPr>
          <w:rFonts w:asciiTheme="majorHAnsi" w:hAnsiTheme="majorHAnsi" w:cstheme="majorHAnsi"/>
        </w:rPr>
        <w:t>alpha-3</w:t>
      </w:r>
      <w:proofErr w:type="gramEnd"/>
      <w:r>
        <w:rPr>
          <w:rFonts w:asciiTheme="majorHAnsi" w:hAnsiTheme="majorHAnsi" w:cstheme="majorHAnsi"/>
        </w:rPr>
        <w:t>. The ISO3 “</w:t>
      </w:r>
      <w:r>
        <w:rPr>
          <w:rFonts w:asciiTheme="majorHAnsi" w:eastAsia="Times New Roman" w:hAnsiTheme="majorHAnsi" w:cstheme="majorHAnsi"/>
          <w:color w:val="000000"/>
        </w:rPr>
        <w:t>AB9</w:t>
      </w:r>
      <w:r>
        <w:rPr>
          <w:rFonts w:asciiTheme="majorHAnsi" w:hAnsiTheme="majorHAnsi" w:cstheme="majorHAnsi"/>
        </w:rPr>
        <w:t xml:space="preserve">” was assigned to the </w:t>
      </w:r>
      <w:r>
        <w:rPr>
          <w:rFonts w:asciiTheme="majorHAnsi" w:eastAsia="Times New Roman" w:hAnsiTheme="majorHAnsi" w:cstheme="majorHAnsi"/>
          <w:color w:val="000000"/>
        </w:rPr>
        <w:t>Abyei Area</w:t>
      </w:r>
    </w:p>
    <w:p w14:paraId="31271314" w14:textId="77777777" w:rsidR="00EE2649" w:rsidRDefault="00B357D6">
      <w:pPr>
        <w:spacing w:after="0"/>
        <w:rPr>
          <w:rFonts w:asciiTheme="majorHAnsi" w:eastAsia="Times New Roman" w:hAnsiTheme="majorHAnsi" w:cstheme="majorHAnsi"/>
          <w:b/>
          <w:color w:val="000000"/>
        </w:rPr>
      </w:pPr>
      <w:r>
        <w:rPr>
          <w:rFonts w:asciiTheme="majorHAnsi" w:hAnsiTheme="majorHAnsi" w:cstheme="majorHAnsi"/>
          <w:b/>
          <w:bCs/>
        </w:rPr>
        <w:t xml:space="preserve">Name: </w:t>
      </w:r>
      <w:r>
        <w:rPr>
          <w:rFonts w:asciiTheme="majorHAnsi" w:hAnsiTheme="majorHAnsi" w:cstheme="majorHAnsi"/>
        </w:rPr>
        <w:t>Country’s short name</w:t>
      </w:r>
    </w:p>
    <w:p w14:paraId="4313B9F6" w14:textId="77777777" w:rsidR="00EE2649" w:rsidRDefault="00B357D6">
      <w:pPr>
        <w:rPr>
          <w:rFonts w:asciiTheme="majorHAnsi" w:hAnsiTheme="majorHAnsi" w:cstheme="majorHAnsi"/>
          <w:b/>
          <w:bCs/>
        </w:rPr>
      </w:pPr>
      <w:r>
        <w:rPr>
          <w:rFonts w:asciiTheme="majorHAnsi" w:hAnsiTheme="majorHAnsi" w:cstheme="majorHAnsi"/>
          <w:b/>
          <w:bCs/>
        </w:rPr>
        <w:t xml:space="preserve">Year: </w:t>
      </w:r>
      <w:r>
        <w:rPr>
          <w:rFonts w:asciiTheme="majorHAnsi" w:hAnsiTheme="majorHAnsi" w:cstheme="majorHAnsi"/>
        </w:rPr>
        <w:t>Year of the reporting figures</w:t>
      </w:r>
    </w:p>
    <w:p w14:paraId="66D1E815" w14:textId="77777777" w:rsidR="00EE2649" w:rsidRDefault="00B357D6">
      <w:pPr>
        <w:rPr>
          <w:rFonts w:asciiTheme="majorHAnsi" w:hAnsiTheme="majorHAnsi" w:cstheme="majorHAnsi"/>
        </w:rPr>
      </w:pPr>
      <w:r>
        <w:rPr>
          <w:rFonts w:asciiTheme="majorHAnsi" w:hAnsiTheme="majorHAnsi" w:cstheme="majorHAnsi"/>
          <w:b/>
          <w:bCs/>
        </w:rPr>
        <w:t xml:space="preserve">Conflict Total number of IDPs: </w:t>
      </w:r>
      <w:r>
        <w:rPr>
          <w:rFonts w:asciiTheme="majorHAnsi" w:hAnsiTheme="majorHAnsi" w:cstheme="majorHAnsi"/>
        </w:rPr>
        <w:t>Total number of IDPs (rounded figures at national level), as a result, of Conflict and Violence as of the end of the reporting ye</w:t>
      </w:r>
      <w:r>
        <w:rPr>
          <w:rFonts w:asciiTheme="majorHAnsi" w:hAnsiTheme="majorHAnsi" w:cstheme="majorHAnsi"/>
        </w:rPr>
        <w:t>ar.</w:t>
      </w:r>
    </w:p>
    <w:p w14:paraId="1DC1660B" w14:textId="77777777" w:rsidR="00EE2649" w:rsidRDefault="00B357D6">
      <w:pPr>
        <w:rPr>
          <w:rFonts w:asciiTheme="majorHAnsi" w:hAnsiTheme="majorHAnsi" w:cstheme="majorHAnsi"/>
        </w:rPr>
      </w:pPr>
      <w:r>
        <w:rPr>
          <w:rFonts w:asciiTheme="majorHAnsi" w:hAnsiTheme="majorHAnsi" w:cstheme="majorHAnsi"/>
          <w:b/>
          <w:bCs/>
        </w:rPr>
        <w:t xml:space="preserve">Conflict Total number of IDPs raw: </w:t>
      </w:r>
      <w:r>
        <w:rPr>
          <w:rFonts w:asciiTheme="majorHAnsi" w:hAnsiTheme="majorHAnsi" w:cstheme="majorHAnsi"/>
        </w:rPr>
        <w:t>Total number of IDPs (not rounded), as a result, of Conflict and Violence as of the end of the reporting year.</w:t>
      </w:r>
    </w:p>
    <w:p w14:paraId="4F1A057C" w14:textId="77777777" w:rsidR="00EE2649" w:rsidRDefault="00B357D6">
      <w:pPr>
        <w:rPr>
          <w:rFonts w:asciiTheme="majorHAnsi" w:hAnsiTheme="majorHAnsi" w:cstheme="majorHAnsi"/>
        </w:rPr>
      </w:pPr>
      <w:r>
        <w:rPr>
          <w:rFonts w:asciiTheme="majorHAnsi" w:hAnsiTheme="majorHAnsi" w:cstheme="majorHAnsi"/>
          <w:b/>
          <w:bCs/>
        </w:rPr>
        <w:t xml:space="preserve">Conflict Internal Displacement: </w:t>
      </w:r>
      <w:r>
        <w:rPr>
          <w:rFonts w:asciiTheme="majorHAnsi" w:hAnsiTheme="majorHAnsi" w:cstheme="majorHAnsi"/>
        </w:rPr>
        <w:t>Total number of internal displacements reported (rounded figures at natio</w:t>
      </w:r>
      <w:r>
        <w:rPr>
          <w:rFonts w:asciiTheme="majorHAnsi" w:hAnsiTheme="majorHAnsi" w:cstheme="majorHAnsi"/>
        </w:rPr>
        <w:t xml:space="preserve">nal level), </w:t>
      </w:r>
      <w:proofErr w:type="gramStart"/>
      <w:r>
        <w:rPr>
          <w:rFonts w:asciiTheme="majorHAnsi" w:hAnsiTheme="majorHAnsi" w:cstheme="majorHAnsi"/>
        </w:rPr>
        <w:t>as a result of</w:t>
      </w:r>
      <w:proofErr w:type="gramEnd"/>
      <w:r>
        <w:rPr>
          <w:rFonts w:asciiTheme="majorHAnsi" w:hAnsiTheme="majorHAnsi" w:cstheme="majorHAnsi"/>
        </w:rPr>
        <w:t xml:space="preserve"> Conflict and Violence over the reporting year.</w:t>
      </w:r>
    </w:p>
    <w:p w14:paraId="345133AC" w14:textId="77777777" w:rsidR="00EE2649" w:rsidRDefault="00B357D6">
      <w:pPr>
        <w:rPr>
          <w:rFonts w:asciiTheme="majorHAnsi" w:hAnsiTheme="majorHAnsi" w:cstheme="majorHAnsi"/>
        </w:rPr>
      </w:pPr>
      <w:r>
        <w:rPr>
          <w:rFonts w:asciiTheme="majorHAnsi" w:hAnsiTheme="majorHAnsi" w:cstheme="majorHAnsi"/>
          <w:b/>
          <w:bCs/>
        </w:rPr>
        <w:t xml:space="preserve">Conflict Internal Displacement raw: </w:t>
      </w:r>
      <w:r>
        <w:rPr>
          <w:rFonts w:asciiTheme="majorHAnsi" w:hAnsiTheme="majorHAnsi" w:cstheme="majorHAnsi"/>
        </w:rPr>
        <w:t xml:space="preserve">Total number of internal displacements reported (not rounded), </w:t>
      </w:r>
      <w:proofErr w:type="gramStart"/>
      <w:r>
        <w:rPr>
          <w:rFonts w:asciiTheme="majorHAnsi" w:hAnsiTheme="majorHAnsi" w:cstheme="majorHAnsi"/>
        </w:rPr>
        <w:t>as a result of</w:t>
      </w:r>
      <w:proofErr w:type="gramEnd"/>
      <w:r>
        <w:rPr>
          <w:rFonts w:asciiTheme="majorHAnsi" w:hAnsiTheme="majorHAnsi" w:cstheme="majorHAnsi"/>
        </w:rPr>
        <w:t xml:space="preserve"> Conflict and Violence over the reporting year.</w:t>
      </w:r>
    </w:p>
    <w:p w14:paraId="2A382E38" w14:textId="77777777" w:rsidR="00EE2649" w:rsidRDefault="00B357D6">
      <w:pPr>
        <w:rPr>
          <w:rFonts w:asciiTheme="majorHAnsi" w:hAnsiTheme="majorHAnsi" w:cstheme="majorHAnsi"/>
        </w:rPr>
      </w:pPr>
      <w:r>
        <w:rPr>
          <w:rFonts w:asciiTheme="majorHAnsi" w:hAnsiTheme="majorHAnsi" w:cstheme="majorHAnsi"/>
          <w:b/>
          <w:bCs/>
        </w:rPr>
        <w:t>Disaster Internal Dis</w:t>
      </w:r>
      <w:r>
        <w:rPr>
          <w:rFonts w:asciiTheme="majorHAnsi" w:hAnsiTheme="majorHAnsi" w:cstheme="majorHAnsi"/>
          <w:b/>
          <w:bCs/>
        </w:rPr>
        <w:t xml:space="preserve">placement: </w:t>
      </w:r>
      <w:r>
        <w:rPr>
          <w:rFonts w:asciiTheme="majorHAnsi" w:hAnsiTheme="majorHAnsi" w:cstheme="majorHAnsi"/>
        </w:rPr>
        <w:t xml:space="preserve">Total number of new displacements reported (rounded figures at national level), </w:t>
      </w:r>
      <w:proofErr w:type="gramStart"/>
      <w:r>
        <w:rPr>
          <w:rFonts w:asciiTheme="majorHAnsi" w:hAnsiTheme="majorHAnsi" w:cstheme="majorHAnsi"/>
        </w:rPr>
        <w:t>as a result of</w:t>
      </w:r>
      <w:proofErr w:type="gramEnd"/>
      <w:r>
        <w:rPr>
          <w:rFonts w:asciiTheme="majorHAnsi" w:hAnsiTheme="majorHAnsi" w:cstheme="majorHAnsi"/>
        </w:rPr>
        <w:t xml:space="preserve"> disasters over the reporting year.</w:t>
      </w:r>
    </w:p>
    <w:p w14:paraId="4851E0ED" w14:textId="77777777" w:rsidR="00EE2649" w:rsidRDefault="00B357D6">
      <w:pPr>
        <w:rPr>
          <w:rFonts w:asciiTheme="majorHAnsi" w:hAnsiTheme="majorHAnsi" w:cstheme="majorHAnsi"/>
          <w:b/>
          <w:bCs/>
        </w:rPr>
      </w:pPr>
      <w:r>
        <w:rPr>
          <w:rFonts w:asciiTheme="majorHAnsi" w:hAnsiTheme="majorHAnsi" w:cstheme="majorHAnsi"/>
          <w:b/>
          <w:bCs/>
        </w:rPr>
        <w:t xml:space="preserve">Disaster Internal Displacement raw: </w:t>
      </w:r>
      <w:r>
        <w:rPr>
          <w:rFonts w:asciiTheme="majorHAnsi" w:hAnsiTheme="majorHAnsi" w:cstheme="majorHAnsi"/>
        </w:rPr>
        <w:t xml:space="preserve">Total number of new displacements reported (not rounded), </w:t>
      </w:r>
      <w:proofErr w:type="gramStart"/>
      <w:r>
        <w:rPr>
          <w:rFonts w:asciiTheme="majorHAnsi" w:hAnsiTheme="majorHAnsi" w:cstheme="majorHAnsi"/>
        </w:rPr>
        <w:t>as a result of</w:t>
      </w:r>
      <w:proofErr w:type="gramEnd"/>
      <w:r>
        <w:rPr>
          <w:rFonts w:asciiTheme="majorHAnsi" w:hAnsiTheme="majorHAnsi" w:cstheme="majorHAnsi"/>
        </w:rPr>
        <w:t xml:space="preserve"> disast</w:t>
      </w:r>
      <w:r>
        <w:rPr>
          <w:rFonts w:asciiTheme="majorHAnsi" w:hAnsiTheme="majorHAnsi" w:cstheme="majorHAnsi"/>
        </w:rPr>
        <w:t>ers over the reporting year.</w:t>
      </w:r>
    </w:p>
    <w:p w14:paraId="082EC1FD" w14:textId="77777777" w:rsidR="00EE2649" w:rsidRDefault="00B357D6">
      <w:pPr>
        <w:rPr>
          <w:rFonts w:asciiTheme="majorHAnsi" w:hAnsiTheme="majorHAnsi" w:cstheme="majorHAnsi"/>
        </w:rPr>
      </w:pPr>
      <w:r>
        <w:rPr>
          <w:rFonts w:asciiTheme="majorHAnsi" w:hAnsiTheme="majorHAnsi" w:cstheme="majorHAnsi"/>
          <w:b/>
          <w:bCs/>
        </w:rPr>
        <w:lastRenderedPageBreak/>
        <w:t xml:space="preserve">Disaster Total number of IDPs: </w:t>
      </w:r>
      <w:r>
        <w:rPr>
          <w:rFonts w:asciiTheme="majorHAnsi" w:hAnsiTheme="majorHAnsi" w:cstheme="majorHAnsi"/>
        </w:rPr>
        <w:t>Total number of IDPs (rounded figures at national level), as a result, of disasters as of the end of the reporting year.</w:t>
      </w:r>
    </w:p>
    <w:p w14:paraId="04D4AAE1" w14:textId="77777777" w:rsidR="00EE2649" w:rsidRDefault="00B357D6">
      <w:pPr>
        <w:rPr>
          <w:rFonts w:asciiTheme="majorHAnsi" w:hAnsiTheme="majorHAnsi" w:cstheme="majorHAnsi"/>
        </w:rPr>
      </w:pPr>
      <w:r>
        <w:rPr>
          <w:rFonts w:asciiTheme="majorHAnsi" w:hAnsiTheme="majorHAnsi" w:cstheme="majorHAnsi"/>
          <w:b/>
          <w:bCs/>
        </w:rPr>
        <w:t xml:space="preserve">Disaster Total number of IDPs raw: </w:t>
      </w:r>
      <w:r>
        <w:rPr>
          <w:rFonts w:asciiTheme="majorHAnsi" w:hAnsiTheme="majorHAnsi" w:cstheme="majorHAnsi"/>
        </w:rPr>
        <w:t xml:space="preserve">Total number of IDPs (not </w:t>
      </w:r>
      <w:r>
        <w:rPr>
          <w:rFonts w:asciiTheme="majorHAnsi" w:hAnsiTheme="majorHAnsi" w:cstheme="majorHAnsi"/>
        </w:rPr>
        <w:t>rounded), as a result, of disasters as of the end of the reporting year.</w:t>
      </w:r>
    </w:p>
    <w:p w14:paraId="6DAC3468" w14:textId="671C0993" w:rsidR="00EE2649" w:rsidRDefault="00EE2649">
      <w:pPr>
        <w:rPr>
          <w:rFonts w:asciiTheme="majorHAnsi" w:hAnsiTheme="majorHAnsi" w:cstheme="majorHAnsi"/>
        </w:rPr>
      </w:pPr>
    </w:p>
    <w:p w14:paraId="4EBD6DDD" w14:textId="77777777" w:rsidR="00337182" w:rsidRDefault="00337182">
      <w:pPr>
        <w:rPr>
          <w:rFonts w:asciiTheme="majorHAnsi" w:hAnsiTheme="majorHAnsi" w:cstheme="majorHAnsi"/>
          <w:lang w:val="fr-CH"/>
        </w:rPr>
      </w:pPr>
      <w:r w:rsidRPr="00337182">
        <w:rPr>
          <w:rFonts w:asciiTheme="majorHAnsi" w:hAnsiTheme="majorHAnsi" w:cstheme="majorHAnsi"/>
        </w:rPr>
        <w:t>IDMC_Internal_Displacement_Conflict-Violence_Disasters_2021</w:t>
      </w:r>
      <w:r>
        <w:rPr>
          <w:rFonts w:asciiTheme="majorHAnsi" w:hAnsiTheme="majorHAnsi" w:cstheme="majorHAnsi"/>
          <w:lang w:val="fr-CH"/>
        </w:rPr>
        <w:t xml:space="preserve"> – File.</w:t>
      </w:r>
    </w:p>
    <w:p w14:paraId="02635C3E" w14:textId="0692F493" w:rsidR="00EE2649" w:rsidRDefault="00337182">
      <w:pPr>
        <w:rPr>
          <w:rFonts w:asciiTheme="majorHAnsi" w:hAnsiTheme="majorHAnsi" w:cstheme="majorHAnsi"/>
          <w:b/>
          <w:bCs/>
        </w:rPr>
      </w:pPr>
      <w:r>
        <w:rPr>
          <w:rFonts w:asciiTheme="majorHAnsi" w:hAnsiTheme="majorHAnsi" w:cstheme="majorHAnsi"/>
          <w:lang w:val="fr-CH"/>
        </w:rPr>
        <w:br/>
      </w:r>
      <w:r>
        <w:rPr>
          <w:rFonts w:asciiTheme="majorHAnsi" w:hAnsiTheme="majorHAnsi" w:cstheme="majorHAnsi"/>
          <w:b/>
          <w:bCs/>
          <w:lang w:val="fr-CH"/>
        </w:rPr>
        <w:t>T</w:t>
      </w:r>
      <w:r w:rsidRPr="00337182">
        <w:rPr>
          <w:rFonts w:asciiTheme="majorHAnsi" w:hAnsiTheme="majorHAnsi" w:cstheme="majorHAnsi"/>
          <w:b/>
          <w:bCs/>
          <w:lang w:val="fr-CH"/>
        </w:rPr>
        <w:t>ab1 – Displacement data</w:t>
      </w:r>
      <w:r>
        <w:rPr>
          <w:rFonts w:asciiTheme="majorHAnsi" w:hAnsiTheme="majorHAnsi" w:cstheme="majorHAnsi"/>
          <w:b/>
          <w:bCs/>
          <w:lang w:val="fr-CH"/>
        </w:rPr>
        <w:t xml:space="preserve"> </w:t>
      </w:r>
      <w:proofErr w:type="spellStart"/>
      <w:r>
        <w:rPr>
          <w:rFonts w:asciiTheme="majorHAnsi" w:hAnsiTheme="majorHAnsi" w:cstheme="majorHAnsi"/>
          <w:b/>
          <w:bCs/>
          <w:lang w:val="fr-CH"/>
        </w:rPr>
        <w:t>with</w:t>
      </w:r>
      <w:proofErr w:type="spellEnd"/>
      <w:r>
        <w:rPr>
          <w:rFonts w:asciiTheme="majorHAnsi" w:hAnsiTheme="majorHAnsi" w:cstheme="majorHAnsi"/>
          <w:b/>
          <w:bCs/>
          <w:lang w:val="fr-CH"/>
        </w:rPr>
        <w:t xml:space="preserve"> </w:t>
      </w:r>
      <w:r w:rsidR="00B357D6">
        <w:rPr>
          <w:rFonts w:asciiTheme="majorHAnsi" w:hAnsiTheme="majorHAnsi" w:cstheme="majorHAnsi"/>
          <w:b/>
          <w:bCs/>
        </w:rPr>
        <w:t>Transcriptions IDMC data to #HXL</w:t>
      </w:r>
    </w:p>
    <w:p w14:paraId="38D65DB6" w14:textId="77777777" w:rsidR="00EE2649" w:rsidRDefault="00B357D6">
      <w:pPr>
        <w:rPr>
          <w:rFonts w:asciiTheme="majorHAnsi" w:hAnsiTheme="majorHAnsi" w:cstheme="majorHAnsi"/>
          <w:b/>
          <w:bCs/>
        </w:rPr>
      </w:pPr>
      <w:r>
        <w:rPr>
          <w:rFonts w:asciiTheme="majorHAnsi" w:hAnsiTheme="majorHAnsi" w:cstheme="majorHAnsi"/>
          <w:b/>
          <w:bCs/>
        </w:rPr>
        <w:t xml:space="preserve">HXL tags: </w:t>
      </w:r>
      <w:hyperlink r:id="rId11">
        <w:r>
          <w:rPr>
            <w:rStyle w:val="Hyperlink"/>
          </w:rPr>
          <w:t>https://hxlstandard.org/</w:t>
        </w:r>
      </w:hyperlink>
      <w:r>
        <w:t xml:space="preserve"> See how it works </w:t>
      </w:r>
      <w:hyperlink r:id="rId12">
        <w:r>
          <w:rPr>
            <w:rStyle w:val="Hyperlink"/>
          </w:rPr>
          <w:t>https://hxlstandard.org/how-it-works/</w:t>
        </w:r>
      </w:hyperlink>
      <w:r>
        <w:t xml:space="preserve"> </w:t>
      </w:r>
    </w:p>
    <w:p w14:paraId="12D5E8E3" w14:textId="77777777" w:rsidR="00EE2649" w:rsidRDefault="00B357D6">
      <w:pPr>
        <w:rPr>
          <w:rFonts w:asciiTheme="majorHAnsi" w:hAnsiTheme="majorHAnsi" w:cstheme="majorHAnsi"/>
          <w:b/>
          <w:bCs/>
        </w:rPr>
      </w:pPr>
      <w:r>
        <w:rPr>
          <w:rFonts w:asciiTheme="majorHAnsi" w:hAnsiTheme="majorHAnsi" w:cstheme="majorHAnsi"/>
          <w:b/>
          <w:bCs/>
        </w:rPr>
        <w:t xml:space="preserve">ISO3: </w:t>
      </w:r>
      <w:r>
        <w:rPr>
          <w:rFonts w:asciiTheme="majorHAnsi" w:hAnsiTheme="majorHAnsi" w:cstheme="majorHAnsi"/>
        </w:rPr>
        <w:t>#country+code</w:t>
      </w:r>
    </w:p>
    <w:p w14:paraId="335407CF" w14:textId="77777777" w:rsidR="00EE2649" w:rsidRDefault="00B357D6">
      <w:pPr>
        <w:rPr>
          <w:rFonts w:asciiTheme="majorHAnsi" w:hAnsiTheme="majorHAnsi" w:cstheme="majorHAnsi"/>
        </w:rPr>
      </w:pPr>
      <w:r>
        <w:rPr>
          <w:rFonts w:asciiTheme="majorHAnsi" w:hAnsiTheme="majorHAnsi" w:cstheme="majorHAnsi"/>
          <w:b/>
          <w:bCs/>
        </w:rPr>
        <w:t xml:space="preserve">Name: </w:t>
      </w:r>
      <w:r>
        <w:rPr>
          <w:rFonts w:asciiTheme="majorHAnsi" w:hAnsiTheme="majorHAnsi" w:cstheme="majorHAnsi"/>
        </w:rPr>
        <w:t>#country+name</w:t>
      </w:r>
    </w:p>
    <w:p w14:paraId="39BC64A5" w14:textId="77777777" w:rsidR="00EE2649" w:rsidRDefault="00B357D6">
      <w:pPr>
        <w:rPr>
          <w:rFonts w:asciiTheme="majorHAnsi" w:hAnsiTheme="majorHAnsi" w:cstheme="majorHAnsi"/>
          <w:b/>
          <w:bCs/>
        </w:rPr>
      </w:pPr>
      <w:r>
        <w:rPr>
          <w:rFonts w:asciiTheme="majorHAnsi" w:hAnsiTheme="majorHAnsi" w:cstheme="majorHAnsi"/>
          <w:b/>
          <w:bCs/>
        </w:rPr>
        <w:t xml:space="preserve">Year: </w:t>
      </w:r>
      <w:r>
        <w:rPr>
          <w:rFonts w:asciiTheme="majorHAnsi" w:hAnsiTheme="majorHAnsi" w:cstheme="majorHAnsi"/>
        </w:rPr>
        <w:t>#date+year</w:t>
      </w:r>
    </w:p>
    <w:p w14:paraId="0B6DDC9F" w14:textId="77777777" w:rsidR="00EE2649" w:rsidRDefault="00B357D6">
      <w:pPr>
        <w:rPr>
          <w:rFonts w:asciiTheme="majorHAnsi" w:hAnsiTheme="majorHAnsi" w:cstheme="majorHAnsi"/>
        </w:rPr>
      </w:pPr>
      <w:r>
        <w:rPr>
          <w:rFonts w:asciiTheme="majorHAnsi" w:hAnsiTheme="majorHAnsi" w:cstheme="majorHAnsi"/>
          <w:b/>
          <w:bCs/>
        </w:rPr>
        <w:t xml:space="preserve">Conflict Stock Displacement: </w:t>
      </w:r>
      <w:r>
        <w:rPr>
          <w:rFonts w:asciiTheme="majorHAnsi" w:hAnsiTheme="majorHAnsi" w:cstheme="majorHAnsi"/>
        </w:rPr>
        <w:t>#affected+displaced+ind+stock+conflict</w:t>
      </w:r>
    </w:p>
    <w:p w14:paraId="10B5689A" w14:textId="77777777" w:rsidR="00EE2649" w:rsidRDefault="00B357D6">
      <w:pPr>
        <w:rPr>
          <w:rFonts w:asciiTheme="majorHAnsi" w:hAnsiTheme="majorHAnsi" w:cstheme="majorHAnsi"/>
        </w:rPr>
      </w:pPr>
      <w:r>
        <w:rPr>
          <w:rFonts w:asciiTheme="majorHAnsi" w:hAnsiTheme="majorHAnsi" w:cstheme="majorHAnsi"/>
          <w:b/>
          <w:bCs/>
        </w:rPr>
        <w:t xml:space="preserve">Conflict Internal Displacements: </w:t>
      </w:r>
      <w:r>
        <w:rPr>
          <w:rFonts w:asciiTheme="majorHAnsi" w:hAnsiTheme="majorHAnsi" w:cstheme="majorHAnsi"/>
        </w:rPr>
        <w:t>#affected+displaced+ind+newdisp+conflict</w:t>
      </w:r>
    </w:p>
    <w:p w14:paraId="1A7A8F33" w14:textId="77777777" w:rsidR="00EE2649" w:rsidRDefault="00B357D6">
      <w:pPr>
        <w:rPr>
          <w:rFonts w:asciiTheme="majorHAnsi" w:hAnsiTheme="majorHAnsi" w:cstheme="majorHAnsi"/>
        </w:rPr>
      </w:pPr>
      <w:r>
        <w:rPr>
          <w:rFonts w:asciiTheme="majorHAnsi" w:hAnsiTheme="majorHAnsi" w:cstheme="majorHAnsi"/>
          <w:b/>
          <w:bCs/>
        </w:rPr>
        <w:t xml:space="preserve">Disaster Internal Displacements: </w:t>
      </w:r>
      <w:r>
        <w:rPr>
          <w:rFonts w:asciiTheme="majorHAnsi" w:hAnsiTheme="majorHAnsi" w:cstheme="majorHAnsi"/>
        </w:rPr>
        <w:t>#affected+displaced+ind+newdisp+disaster</w:t>
      </w:r>
    </w:p>
    <w:p w14:paraId="6AD4544B" w14:textId="77777777" w:rsidR="00EE2649" w:rsidRDefault="00B357D6">
      <w:pPr>
        <w:rPr>
          <w:rFonts w:asciiTheme="majorHAnsi" w:hAnsiTheme="majorHAnsi" w:cstheme="majorHAnsi"/>
        </w:rPr>
      </w:pPr>
      <w:r>
        <w:rPr>
          <w:rFonts w:asciiTheme="majorHAnsi" w:hAnsiTheme="majorHAnsi" w:cstheme="majorHAnsi"/>
          <w:b/>
          <w:bCs/>
        </w:rPr>
        <w:t xml:space="preserve">Disaster Stock Displacement: </w:t>
      </w:r>
      <w:r>
        <w:rPr>
          <w:rFonts w:asciiTheme="majorHAnsi" w:hAnsiTheme="majorHAnsi" w:cstheme="majorHAnsi"/>
        </w:rPr>
        <w:t>#affected+displaced+ind+stock+disaster</w:t>
      </w:r>
    </w:p>
    <w:p w14:paraId="6EB2A6FF" w14:textId="74A37BFA" w:rsidR="00EE2649" w:rsidRDefault="00B357D6">
      <w:pPr>
        <w:rPr>
          <w:rFonts w:asciiTheme="majorHAnsi" w:hAnsiTheme="majorHAnsi" w:cstheme="majorHAnsi"/>
        </w:rPr>
      </w:pPr>
      <w:r>
        <w:rPr>
          <w:rFonts w:asciiTheme="majorHAnsi" w:hAnsiTheme="majorHAnsi" w:cstheme="majorHAnsi"/>
          <w:b/>
          <w:bCs/>
        </w:rPr>
        <w:t xml:space="preserve">Conflict Stock Displacement (raw): </w:t>
      </w:r>
      <w:r>
        <w:rPr>
          <w:rFonts w:asciiTheme="majorHAnsi" w:hAnsiTheme="majorHAnsi" w:cstheme="majorHAnsi"/>
        </w:rPr>
        <w:t>#affected+displaced+ind+stock+conflict</w:t>
      </w:r>
      <w:r w:rsidR="00337182" w:rsidRPr="00337182">
        <w:rPr>
          <w:rFonts w:asciiTheme="majorHAnsi" w:hAnsiTheme="majorHAnsi" w:cstheme="majorHAnsi"/>
          <w:lang w:val="en-GB"/>
        </w:rPr>
        <w:t>_</w:t>
      </w:r>
      <w:r w:rsidR="00337182">
        <w:rPr>
          <w:rFonts w:asciiTheme="majorHAnsi" w:hAnsiTheme="majorHAnsi" w:cstheme="majorHAnsi"/>
          <w:lang w:val="en-GB"/>
        </w:rPr>
        <w:t>raw</w:t>
      </w:r>
    </w:p>
    <w:p w14:paraId="56BD7840" w14:textId="24809A12" w:rsidR="00EE2649" w:rsidRDefault="00B357D6">
      <w:pPr>
        <w:rPr>
          <w:rFonts w:asciiTheme="majorHAnsi" w:hAnsiTheme="majorHAnsi" w:cstheme="majorHAnsi"/>
        </w:rPr>
      </w:pPr>
      <w:r>
        <w:rPr>
          <w:rFonts w:asciiTheme="majorHAnsi" w:hAnsiTheme="majorHAnsi" w:cstheme="majorHAnsi"/>
          <w:b/>
          <w:bCs/>
        </w:rPr>
        <w:t xml:space="preserve">Conflict Internal Displacements (raw): </w:t>
      </w:r>
      <w:r>
        <w:rPr>
          <w:rFonts w:asciiTheme="majorHAnsi" w:hAnsiTheme="majorHAnsi" w:cstheme="majorHAnsi"/>
        </w:rPr>
        <w:t>#</w:t>
      </w:r>
      <w:r>
        <w:rPr>
          <w:rFonts w:asciiTheme="majorHAnsi" w:hAnsiTheme="majorHAnsi" w:cstheme="majorHAnsi"/>
        </w:rPr>
        <w:t>affected+displaced+ind+newdisp+conflict</w:t>
      </w:r>
      <w:r w:rsidR="00337182" w:rsidRPr="00337182">
        <w:rPr>
          <w:rFonts w:asciiTheme="majorHAnsi" w:hAnsiTheme="majorHAnsi" w:cstheme="majorHAnsi"/>
          <w:lang w:val="en-GB"/>
        </w:rPr>
        <w:t>_</w:t>
      </w:r>
      <w:r w:rsidR="00337182">
        <w:rPr>
          <w:rFonts w:asciiTheme="majorHAnsi" w:hAnsiTheme="majorHAnsi" w:cstheme="majorHAnsi"/>
          <w:lang w:val="en-GB"/>
        </w:rPr>
        <w:t>raw</w:t>
      </w:r>
    </w:p>
    <w:p w14:paraId="3DBB1394" w14:textId="21325F59" w:rsidR="00EE2649" w:rsidRDefault="00B357D6">
      <w:pPr>
        <w:rPr>
          <w:rFonts w:asciiTheme="majorHAnsi" w:hAnsiTheme="majorHAnsi" w:cstheme="majorHAnsi"/>
        </w:rPr>
      </w:pPr>
      <w:r>
        <w:rPr>
          <w:rFonts w:asciiTheme="majorHAnsi" w:hAnsiTheme="majorHAnsi" w:cstheme="majorHAnsi"/>
          <w:b/>
          <w:bCs/>
        </w:rPr>
        <w:t xml:space="preserve">Disaster Internal Displacements (raw): </w:t>
      </w:r>
      <w:r>
        <w:rPr>
          <w:rFonts w:asciiTheme="majorHAnsi" w:hAnsiTheme="majorHAnsi" w:cstheme="majorHAnsi"/>
        </w:rPr>
        <w:t>#affected+displaced+ind+newdisp+disaster</w:t>
      </w:r>
      <w:r w:rsidR="00337182" w:rsidRPr="00337182">
        <w:rPr>
          <w:rFonts w:asciiTheme="majorHAnsi" w:hAnsiTheme="majorHAnsi" w:cstheme="majorHAnsi"/>
          <w:lang w:val="en-GB"/>
        </w:rPr>
        <w:t>_</w:t>
      </w:r>
      <w:r w:rsidR="00337182">
        <w:rPr>
          <w:rFonts w:asciiTheme="majorHAnsi" w:hAnsiTheme="majorHAnsi" w:cstheme="majorHAnsi"/>
          <w:lang w:val="en-GB"/>
        </w:rPr>
        <w:t>raw</w:t>
      </w:r>
    </w:p>
    <w:p w14:paraId="4CEAF6EC" w14:textId="45CCD97F" w:rsidR="00EE2649" w:rsidRDefault="00B357D6">
      <w:pPr>
        <w:rPr>
          <w:rFonts w:asciiTheme="majorHAnsi" w:hAnsiTheme="majorHAnsi" w:cstheme="majorHAnsi"/>
          <w:lang w:val="en-GB"/>
        </w:rPr>
      </w:pPr>
      <w:r>
        <w:rPr>
          <w:rFonts w:asciiTheme="majorHAnsi" w:hAnsiTheme="majorHAnsi" w:cstheme="majorHAnsi"/>
          <w:b/>
          <w:bCs/>
        </w:rPr>
        <w:t xml:space="preserve">Disaster Stock Displacement (raw): </w:t>
      </w:r>
      <w:r>
        <w:rPr>
          <w:rFonts w:asciiTheme="majorHAnsi" w:hAnsiTheme="majorHAnsi" w:cstheme="majorHAnsi"/>
        </w:rPr>
        <w:t>#affected+displaced+ind+stock+disaster</w:t>
      </w:r>
      <w:r w:rsidR="00337182" w:rsidRPr="00337182">
        <w:rPr>
          <w:rFonts w:asciiTheme="majorHAnsi" w:hAnsiTheme="majorHAnsi" w:cstheme="majorHAnsi"/>
          <w:lang w:val="en-GB"/>
        </w:rPr>
        <w:t>_</w:t>
      </w:r>
      <w:r w:rsidR="00337182">
        <w:rPr>
          <w:rFonts w:asciiTheme="majorHAnsi" w:hAnsiTheme="majorHAnsi" w:cstheme="majorHAnsi"/>
          <w:lang w:val="en-GB"/>
        </w:rPr>
        <w:t>raw</w:t>
      </w:r>
    </w:p>
    <w:p w14:paraId="5EC0BD31" w14:textId="77777777" w:rsidR="00337182" w:rsidRPr="00337182" w:rsidRDefault="00337182">
      <w:pPr>
        <w:rPr>
          <w:rFonts w:asciiTheme="majorHAnsi" w:hAnsiTheme="majorHAnsi" w:cstheme="majorHAnsi"/>
          <w:b/>
          <w:bCs/>
          <w:lang w:val="en-GB"/>
        </w:rPr>
      </w:pPr>
    </w:p>
    <w:p w14:paraId="2C638D31" w14:textId="33906704" w:rsidR="00337182" w:rsidRPr="00EF4160" w:rsidRDefault="00337182">
      <w:pPr>
        <w:rPr>
          <w:rFonts w:asciiTheme="majorHAnsi" w:hAnsiTheme="majorHAnsi" w:cstheme="majorHAnsi"/>
          <w:b/>
          <w:bCs/>
          <w:lang w:val="en-GB"/>
        </w:rPr>
      </w:pPr>
      <w:r w:rsidRPr="00337182">
        <w:rPr>
          <w:rFonts w:asciiTheme="majorHAnsi" w:hAnsiTheme="majorHAnsi" w:cstheme="majorHAnsi"/>
          <w:b/>
          <w:bCs/>
          <w:lang w:val="en-GB"/>
        </w:rPr>
        <w:t>Tab</w:t>
      </w:r>
      <w:r w:rsidRPr="00337182">
        <w:rPr>
          <w:rFonts w:asciiTheme="majorHAnsi" w:hAnsiTheme="majorHAnsi" w:cstheme="majorHAnsi"/>
          <w:b/>
          <w:bCs/>
          <w:lang w:val="en-GB"/>
        </w:rPr>
        <w:t>2</w:t>
      </w:r>
      <w:r w:rsidRPr="00337182">
        <w:rPr>
          <w:rFonts w:asciiTheme="majorHAnsi" w:hAnsiTheme="majorHAnsi" w:cstheme="majorHAnsi"/>
          <w:b/>
          <w:bCs/>
          <w:lang w:val="en-GB"/>
        </w:rPr>
        <w:t xml:space="preserve"> – </w:t>
      </w:r>
      <w:proofErr w:type="spellStart"/>
      <w:r w:rsidRPr="00EF4160">
        <w:rPr>
          <w:rFonts w:asciiTheme="majorHAnsi" w:hAnsiTheme="majorHAnsi" w:cstheme="majorHAnsi"/>
          <w:b/>
          <w:bCs/>
          <w:lang w:val="en-GB"/>
        </w:rPr>
        <w:t>IDPS_SADD_estimations</w:t>
      </w:r>
      <w:proofErr w:type="spellEnd"/>
      <w:r w:rsidRPr="00EF4160">
        <w:rPr>
          <w:rFonts w:asciiTheme="majorHAnsi" w:hAnsiTheme="majorHAnsi" w:cstheme="majorHAnsi"/>
          <w:b/>
          <w:bCs/>
          <w:lang w:val="en-GB"/>
        </w:rPr>
        <w:t xml:space="preserve"> </w:t>
      </w:r>
    </w:p>
    <w:p w14:paraId="3B4440E1" w14:textId="77777777" w:rsidR="00EF4160" w:rsidRDefault="00EF4160" w:rsidP="00EF4160">
      <w:pPr>
        <w:jc w:val="both"/>
      </w:pPr>
      <w:r>
        <w:t>Although relatively little Sex and Age Disaggregated Data (SADD) is available for displacement associated with conflict or disasters, one way to estimate it is to use SADD available at the national level. The United Nations (</w:t>
      </w:r>
      <w:hyperlink r:id="rId13" w:history="1">
        <w:r>
          <w:rPr>
            <w:rStyle w:val="Hyperlink"/>
          </w:rPr>
          <w:t>United Nations, Department of Economic and Social Affairs, Population Division (2019). World Population Prospects 2019</w:t>
        </w:r>
      </w:hyperlink>
      <w:r>
        <w:t xml:space="preserve">) </w:t>
      </w:r>
      <w:bookmarkStart w:id="0" w:name="_Int_uBOtasnY"/>
      <w:r>
        <w:t>provides</w:t>
      </w:r>
      <w:bookmarkEnd w:id="0"/>
      <w:r>
        <w:t xml:space="preserve"> such data. Using this data, one has access to the percentage of the population by broad age groups and sex, for each country. Then, for each country for which IDMC has access to displacement data, one can multiply the UN SADD by the total number of IDPs to obtain an estimate of SADD for displacement. Note that this analysis uses national-level statistics derived from census data, that may not reflect how different groups (e.g., men and women, or different age groups) are affected by conflict or disaster displacement situations.</w:t>
      </w:r>
    </w:p>
    <w:p w14:paraId="15027C00" w14:textId="39523A37" w:rsidR="00337182" w:rsidRPr="00EF4160" w:rsidRDefault="00EF4160">
      <w:pPr>
        <w:rPr>
          <w:rFonts w:asciiTheme="majorHAnsi" w:hAnsiTheme="majorHAnsi" w:cstheme="majorHAnsi"/>
          <w:lang w:val="en-GB"/>
        </w:rPr>
      </w:pPr>
      <w:r w:rsidRPr="00EF4160">
        <w:rPr>
          <w:rFonts w:asciiTheme="majorHAnsi" w:hAnsiTheme="majorHAnsi" w:cstheme="majorHAnsi"/>
          <w:lang w:val="en-GB"/>
        </w:rPr>
        <w:t>Age groups for both s</w:t>
      </w:r>
      <w:r>
        <w:rPr>
          <w:rFonts w:asciiTheme="majorHAnsi" w:hAnsiTheme="majorHAnsi" w:cstheme="majorHAnsi"/>
          <w:lang w:val="en-GB"/>
        </w:rPr>
        <w:t>ex (female/male) and for conflict and disasters IDPs.</w:t>
      </w:r>
      <w:r>
        <w:rPr>
          <w:rFonts w:asciiTheme="majorHAnsi" w:hAnsiTheme="majorHAnsi" w:cstheme="majorHAnsi"/>
          <w:lang w:val="en-GB"/>
        </w:rPr>
        <w:br/>
      </w:r>
      <w:r w:rsidRPr="00EF4160">
        <w:rPr>
          <w:rFonts w:asciiTheme="majorHAnsi" w:hAnsiTheme="majorHAnsi" w:cstheme="majorHAnsi"/>
          <w:lang w:val="en-GB"/>
        </w:rPr>
        <w:t xml:space="preserve">0-4 </w:t>
      </w:r>
      <w:r>
        <w:rPr>
          <w:rFonts w:asciiTheme="majorHAnsi" w:hAnsiTheme="majorHAnsi" w:cstheme="majorHAnsi"/>
          <w:lang w:val="en-GB"/>
        </w:rPr>
        <w:t xml:space="preserve"> -  </w:t>
      </w:r>
      <w:r w:rsidRPr="00EF4160">
        <w:rPr>
          <w:rFonts w:asciiTheme="majorHAnsi" w:hAnsiTheme="majorHAnsi" w:cstheme="majorHAnsi"/>
          <w:lang w:val="en-GB"/>
        </w:rPr>
        <w:t xml:space="preserve">0-17 </w:t>
      </w:r>
      <w:r>
        <w:rPr>
          <w:rFonts w:asciiTheme="majorHAnsi" w:hAnsiTheme="majorHAnsi" w:cstheme="majorHAnsi"/>
          <w:lang w:val="en-GB"/>
        </w:rPr>
        <w:t xml:space="preserve"> -  </w:t>
      </w:r>
      <w:r w:rsidRPr="00EF4160">
        <w:rPr>
          <w:rFonts w:asciiTheme="majorHAnsi" w:hAnsiTheme="majorHAnsi" w:cstheme="majorHAnsi"/>
          <w:lang w:val="en-GB"/>
        </w:rPr>
        <w:t>5-14</w:t>
      </w:r>
      <w:r>
        <w:rPr>
          <w:rFonts w:asciiTheme="majorHAnsi" w:hAnsiTheme="majorHAnsi" w:cstheme="majorHAnsi"/>
          <w:lang w:val="en-GB"/>
        </w:rPr>
        <w:t xml:space="preserve">  -  </w:t>
      </w:r>
      <w:r w:rsidRPr="00EF4160">
        <w:rPr>
          <w:rFonts w:asciiTheme="majorHAnsi" w:hAnsiTheme="majorHAnsi" w:cstheme="majorHAnsi"/>
          <w:lang w:val="en-GB"/>
        </w:rPr>
        <w:t xml:space="preserve"> 15-17</w:t>
      </w:r>
      <w:r>
        <w:rPr>
          <w:rFonts w:asciiTheme="majorHAnsi" w:hAnsiTheme="majorHAnsi" w:cstheme="majorHAnsi"/>
          <w:lang w:val="en-GB"/>
        </w:rPr>
        <w:t xml:space="preserve"> -  </w:t>
      </w:r>
      <w:r w:rsidRPr="00EF4160">
        <w:rPr>
          <w:rFonts w:asciiTheme="majorHAnsi" w:hAnsiTheme="majorHAnsi" w:cstheme="majorHAnsi"/>
          <w:lang w:val="en-GB"/>
        </w:rPr>
        <w:t>15-24</w:t>
      </w:r>
      <w:r>
        <w:rPr>
          <w:rFonts w:asciiTheme="majorHAnsi" w:hAnsiTheme="majorHAnsi" w:cstheme="majorHAnsi"/>
          <w:lang w:val="en-GB"/>
        </w:rPr>
        <w:t xml:space="preserve">  -  </w:t>
      </w:r>
      <w:r w:rsidRPr="00EF4160">
        <w:rPr>
          <w:rFonts w:asciiTheme="majorHAnsi" w:hAnsiTheme="majorHAnsi" w:cstheme="majorHAnsi"/>
          <w:lang w:val="en-GB"/>
        </w:rPr>
        <w:t>25-64</w:t>
      </w:r>
      <w:r>
        <w:rPr>
          <w:rFonts w:asciiTheme="majorHAnsi" w:hAnsiTheme="majorHAnsi" w:cstheme="majorHAnsi"/>
          <w:lang w:val="en-GB"/>
        </w:rPr>
        <w:t xml:space="preserve">  </w:t>
      </w:r>
      <w:r w:rsidRPr="00EF4160">
        <w:rPr>
          <w:rFonts w:asciiTheme="majorHAnsi" w:hAnsiTheme="majorHAnsi" w:cstheme="majorHAnsi"/>
          <w:lang w:val="en-GB"/>
        </w:rPr>
        <w:t>-</w:t>
      </w:r>
      <w:r>
        <w:rPr>
          <w:rFonts w:asciiTheme="majorHAnsi" w:hAnsiTheme="majorHAnsi" w:cstheme="majorHAnsi"/>
          <w:lang w:val="en-GB"/>
        </w:rPr>
        <w:t xml:space="preserve"> </w:t>
      </w:r>
      <w:r w:rsidRPr="00EF4160">
        <w:rPr>
          <w:rFonts w:asciiTheme="majorHAnsi" w:hAnsiTheme="majorHAnsi" w:cstheme="majorHAnsi"/>
          <w:lang w:val="en-GB"/>
        </w:rPr>
        <w:t xml:space="preserve"> 65+ </w:t>
      </w:r>
      <w:r w:rsidR="00B357D6">
        <w:rPr>
          <w:rFonts w:asciiTheme="majorHAnsi" w:hAnsiTheme="majorHAnsi" w:cstheme="majorHAnsi"/>
          <w:lang w:val="en-GB"/>
        </w:rPr>
        <w:t xml:space="preserve"> </w:t>
      </w:r>
      <w:r w:rsidRPr="00B357D6">
        <w:rPr>
          <w:rFonts w:asciiTheme="majorHAnsi" w:hAnsiTheme="majorHAnsi" w:cstheme="majorHAnsi"/>
          <w:i/>
          <w:iCs/>
          <w:sz w:val="18"/>
          <w:szCs w:val="18"/>
          <w:lang w:val="en-GB"/>
        </w:rPr>
        <w:t>Please note that some age groups are overlapping.</w:t>
      </w:r>
      <w:r w:rsidRPr="00B357D6">
        <w:rPr>
          <w:rFonts w:asciiTheme="majorHAnsi" w:hAnsiTheme="majorHAnsi" w:cstheme="majorHAnsi"/>
          <w:lang w:val="en-GB"/>
        </w:rPr>
        <w:br/>
      </w:r>
      <w:r>
        <w:rPr>
          <w:rFonts w:asciiTheme="majorHAnsi" w:hAnsiTheme="majorHAnsi" w:cstheme="majorHAnsi"/>
          <w:lang w:val="en-GB"/>
        </w:rPr>
        <w:br/>
      </w:r>
      <w:r w:rsidR="00B357D6">
        <w:rPr>
          <w:rFonts w:asciiTheme="majorHAnsi" w:hAnsiTheme="majorHAnsi" w:cstheme="majorHAnsi"/>
          <w:lang w:val="en-GB"/>
        </w:rPr>
        <w:t xml:space="preserve">Access to the code for estimation calculation - </w:t>
      </w:r>
      <w:hyperlink r:id="rId14" w:history="1">
        <w:r w:rsidR="00B357D6" w:rsidRPr="00695CB9">
          <w:rPr>
            <w:rStyle w:val="Hyperlink"/>
            <w:rFonts w:asciiTheme="majorHAnsi" w:hAnsiTheme="majorHAnsi" w:cstheme="majorHAnsi"/>
            <w:lang w:val="en-GB"/>
          </w:rPr>
          <w:t>https://github.com/idmc-labs/ghjulia-internship/tree/main/PopDataDisaggregation</w:t>
        </w:r>
      </w:hyperlink>
      <w:r w:rsidR="00B357D6">
        <w:rPr>
          <w:rFonts w:asciiTheme="majorHAnsi" w:hAnsiTheme="majorHAnsi" w:cstheme="majorHAnsi"/>
          <w:lang w:val="en-GB"/>
        </w:rPr>
        <w:t xml:space="preserve"> </w:t>
      </w:r>
    </w:p>
    <w:p w14:paraId="58D813E6" w14:textId="7480462D" w:rsidR="00337182" w:rsidRDefault="00337182">
      <w:pPr>
        <w:rPr>
          <w:rFonts w:asciiTheme="majorHAnsi" w:hAnsiTheme="majorHAnsi" w:cstheme="majorHAnsi"/>
        </w:rPr>
      </w:pPr>
    </w:p>
    <w:p w14:paraId="78113490" w14:textId="471A8135" w:rsidR="00337182" w:rsidRDefault="00337182">
      <w:pPr>
        <w:rPr>
          <w:rFonts w:asciiTheme="majorHAnsi" w:hAnsiTheme="majorHAnsi" w:cstheme="majorHAnsi"/>
        </w:rPr>
      </w:pPr>
    </w:p>
    <w:p w14:paraId="5EDBA2B2" w14:textId="2AFD7BB4" w:rsidR="00337182" w:rsidRDefault="00337182">
      <w:pPr>
        <w:rPr>
          <w:rFonts w:asciiTheme="majorHAnsi" w:hAnsiTheme="majorHAnsi" w:cstheme="majorHAnsi"/>
        </w:rPr>
      </w:pPr>
    </w:p>
    <w:p w14:paraId="597F7797" w14:textId="0A1BB579" w:rsidR="00337182" w:rsidRDefault="00337182">
      <w:pPr>
        <w:rPr>
          <w:rFonts w:asciiTheme="majorHAnsi" w:hAnsiTheme="majorHAnsi" w:cstheme="majorHAnsi"/>
        </w:rPr>
      </w:pPr>
    </w:p>
    <w:p w14:paraId="55266F74" w14:textId="45F9DB22" w:rsidR="00EE2649" w:rsidRDefault="00B357D6">
      <w:pPr>
        <w:rPr>
          <w:rFonts w:asciiTheme="majorHAnsi" w:hAnsiTheme="majorHAnsi" w:cstheme="majorHAnsi"/>
        </w:rPr>
      </w:pPr>
      <w:r>
        <w:rPr>
          <w:rFonts w:asciiTheme="majorHAnsi" w:hAnsiTheme="majorHAnsi" w:cstheme="majorHAnsi"/>
        </w:rPr>
        <w:lastRenderedPageBreak/>
        <w:t>For disaster events 2008-2021 (internal displacement) per hazard type.</w:t>
      </w:r>
    </w:p>
    <w:p w14:paraId="3E8EA95B" w14:textId="77777777" w:rsidR="00EE2649" w:rsidRDefault="00B357D6">
      <w:pPr>
        <w:rPr>
          <w:rFonts w:asciiTheme="majorHAnsi" w:hAnsiTheme="majorHAnsi" w:cstheme="majorHAnsi"/>
          <w:b/>
          <w:bCs/>
        </w:rPr>
      </w:pPr>
      <w:r>
        <w:rPr>
          <w:rFonts w:asciiTheme="majorHAnsi" w:hAnsiTheme="majorHAnsi" w:cstheme="majorHAnsi"/>
          <w:b/>
          <w:bCs/>
        </w:rPr>
        <w:t xml:space="preserve">Start date: </w:t>
      </w:r>
      <w:r>
        <w:rPr>
          <w:rFonts w:asciiTheme="majorHAnsi" w:hAnsiTheme="majorHAnsi" w:cstheme="majorHAnsi"/>
        </w:rPr>
        <w:t>Start date of the displacement flow.</w:t>
      </w:r>
    </w:p>
    <w:p w14:paraId="0203D756" w14:textId="77777777" w:rsidR="00EE2649" w:rsidRDefault="00B357D6">
      <w:pPr>
        <w:rPr>
          <w:rFonts w:asciiTheme="majorHAnsi" w:hAnsiTheme="majorHAnsi" w:cstheme="majorHAnsi"/>
          <w:b/>
          <w:bCs/>
        </w:rPr>
      </w:pPr>
      <w:r>
        <w:rPr>
          <w:rFonts w:asciiTheme="majorHAnsi" w:hAnsiTheme="majorHAnsi" w:cstheme="majorHAnsi"/>
          <w:b/>
          <w:bCs/>
        </w:rPr>
        <w:t xml:space="preserve">Event name: </w:t>
      </w:r>
      <w:r>
        <w:rPr>
          <w:rFonts w:asciiTheme="majorHAnsi" w:hAnsiTheme="majorHAnsi" w:cstheme="majorHAnsi"/>
        </w:rPr>
        <w:t>Name of the event (IDMC)</w:t>
      </w:r>
    </w:p>
    <w:p w14:paraId="6868B876" w14:textId="77777777" w:rsidR="00EE2649" w:rsidRDefault="00B357D6">
      <w:pPr>
        <w:rPr>
          <w:rFonts w:asciiTheme="majorHAnsi" w:hAnsiTheme="majorHAnsi" w:cstheme="majorHAnsi"/>
          <w:b/>
          <w:bCs/>
        </w:rPr>
      </w:pPr>
      <w:r>
        <w:rPr>
          <w:rFonts w:asciiTheme="majorHAnsi" w:hAnsiTheme="majorHAnsi" w:cstheme="majorHAnsi"/>
          <w:b/>
          <w:bCs/>
        </w:rPr>
        <w:t xml:space="preserve">Hazard category: </w:t>
      </w:r>
      <w:r>
        <w:rPr>
          <w:rFonts w:asciiTheme="majorHAnsi" w:hAnsiTheme="majorHAnsi" w:cstheme="majorHAnsi"/>
        </w:rPr>
        <w:t>Represent the category of hazard that</w:t>
      </w:r>
      <w:r>
        <w:rPr>
          <w:rFonts w:asciiTheme="majorHAnsi" w:hAnsiTheme="majorHAnsi" w:cstheme="majorHAnsi"/>
        </w:rPr>
        <w:t xml:space="preserve"> triggered displacement, geophysical or weather-related</w:t>
      </w:r>
    </w:p>
    <w:p w14:paraId="147965E2" w14:textId="77777777" w:rsidR="00EE2649" w:rsidRDefault="00B357D6">
      <w:pPr>
        <w:rPr>
          <w:rFonts w:asciiTheme="majorHAnsi" w:hAnsiTheme="majorHAnsi" w:cstheme="majorHAnsi"/>
        </w:rPr>
      </w:pPr>
      <w:r>
        <w:rPr>
          <w:rFonts w:asciiTheme="majorHAnsi" w:hAnsiTheme="majorHAnsi" w:cstheme="majorHAnsi"/>
          <w:b/>
          <w:bCs/>
          <w:lang w:val="en-GB"/>
        </w:rPr>
        <w:t xml:space="preserve">Hazard type: </w:t>
      </w:r>
      <w:r>
        <w:rPr>
          <w:rFonts w:asciiTheme="majorHAnsi" w:hAnsiTheme="majorHAnsi" w:cstheme="majorHAnsi"/>
          <w:lang w:val="en-GB"/>
        </w:rPr>
        <w:t xml:space="preserve">Represent the main hazard that triggered displacement (see - </w:t>
      </w:r>
      <w:hyperlink r:id="rId15" w:tgtFrame="https://www.internal-displacement.org/monitoring-tools">
        <w:r>
          <w:rPr>
            <w:rStyle w:val="Hyperlink"/>
            <w:rFonts w:asciiTheme="majorHAnsi" w:hAnsiTheme="majorHAnsi" w:cstheme="majorHAnsi"/>
            <w:sz w:val="21"/>
            <w:szCs w:val="21"/>
            <w:lang w:val="en-GB"/>
          </w:rPr>
          <w:t>https://www.internal-displacement.org/monitoring-tools</w:t>
        </w:r>
      </w:hyperlink>
      <w:r>
        <w:rPr>
          <w:rFonts w:asciiTheme="majorHAnsi" w:hAnsiTheme="majorHAnsi" w:cstheme="majorHAnsi"/>
          <w:lang w:val="en-GB"/>
        </w:rPr>
        <w:t>)</w:t>
      </w:r>
    </w:p>
    <w:sectPr w:rsidR="00EE264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5ED"/>
    <w:multiLevelType w:val="multilevel"/>
    <w:tmpl w:val="EF24F8E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2345BB4"/>
    <w:multiLevelType w:val="multilevel"/>
    <w:tmpl w:val="BF2CAA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13573D3"/>
    <w:multiLevelType w:val="multilevel"/>
    <w:tmpl w:val="607E2DB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61620237">
    <w:abstractNumId w:val="2"/>
  </w:num>
  <w:num w:numId="2" w16cid:durableId="255480280">
    <w:abstractNumId w:val="0"/>
  </w:num>
  <w:num w:numId="3" w16cid:durableId="195940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49"/>
    <w:rsid w:val="00337182"/>
    <w:rsid w:val="00B357D6"/>
    <w:rsid w:val="00EE2649"/>
    <w:rsid w:val="00EF41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1EBD"/>
  <w15:docId w15:val="{1ED1CCF0-20DE-4DA0-AC33-295B8CC3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86"/>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9352B"/>
    <w:rPr>
      <w:sz w:val="16"/>
      <w:szCs w:val="16"/>
    </w:rPr>
  </w:style>
  <w:style w:type="character" w:customStyle="1" w:styleId="CommentTextChar">
    <w:name w:val="Comment Text Char"/>
    <w:basedOn w:val="DefaultParagraphFont"/>
    <w:link w:val="CommentText"/>
    <w:uiPriority w:val="99"/>
    <w:semiHidden/>
    <w:qFormat/>
    <w:rsid w:val="0019352B"/>
    <w:rPr>
      <w:sz w:val="20"/>
      <w:szCs w:val="20"/>
    </w:rPr>
  </w:style>
  <w:style w:type="character" w:customStyle="1" w:styleId="CommentSubjectChar">
    <w:name w:val="Comment Subject Char"/>
    <w:basedOn w:val="CommentTextChar"/>
    <w:link w:val="CommentSubject"/>
    <w:uiPriority w:val="99"/>
    <w:semiHidden/>
    <w:qFormat/>
    <w:rsid w:val="0019352B"/>
    <w:rPr>
      <w:b/>
      <w:bCs/>
      <w:sz w:val="20"/>
      <w:szCs w:val="20"/>
    </w:rPr>
  </w:style>
  <w:style w:type="character" w:customStyle="1" w:styleId="BalloonTextChar">
    <w:name w:val="Balloon Text Char"/>
    <w:basedOn w:val="DefaultParagraphFont"/>
    <w:link w:val="BalloonText"/>
    <w:uiPriority w:val="99"/>
    <w:semiHidden/>
    <w:qFormat/>
    <w:rsid w:val="0019352B"/>
    <w:rPr>
      <w:rFonts w:ascii="Segoe UI" w:hAnsi="Segoe UI" w:cs="Segoe UI"/>
      <w:sz w:val="18"/>
      <w:szCs w:val="18"/>
    </w:rPr>
  </w:style>
  <w:style w:type="character" w:styleId="Hyperlink">
    <w:name w:val="Hyperlink"/>
    <w:basedOn w:val="DefaultParagraphFont"/>
    <w:uiPriority w:val="99"/>
    <w:unhideWhenUsed/>
    <w:rsid w:val="00313041"/>
    <w:rPr>
      <w:color w:val="0563C1" w:themeColor="hyperlink"/>
      <w:u w:val="single"/>
    </w:rPr>
  </w:style>
  <w:style w:type="character" w:styleId="UnresolvedMention">
    <w:name w:val="Unresolved Mention"/>
    <w:basedOn w:val="DefaultParagraphFont"/>
    <w:uiPriority w:val="99"/>
    <w:unhideWhenUsed/>
    <w:qFormat/>
    <w:rsid w:val="00313041"/>
    <w:rPr>
      <w:color w:val="605E5C"/>
      <w:shd w:val="clear" w:color="auto" w:fill="E1DFDD"/>
    </w:rPr>
  </w:style>
  <w:style w:type="character" w:styleId="Mention">
    <w:name w:val="Mention"/>
    <w:basedOn w:val="DefaultParagraphFont"/>
    <w:uiPriority w:val="99"/>
    <w:unhideWhenUsed/>
    <w:qFormat/>
    <w:rsid w:val="00C17CD6"/>
    <w:rPr>
      <w:color w:val="2B579A"/>
      <w:shd w:val="clear" w:color="auto" w:fill="E1DFDD"/>
    </w:rPr>
  </w:style>
  <w:style w:type="paragraph" w:customStyle="1" w:styleId="Heading">
    <w:name w:val="Heading"/>
    <w:basedOn w:val="Normal"/>
    <w:next w:val="BodyText"/>
    <w:qFormat/>
    <w:pPr>
      <w:keepNext/>
      <w:spacing w:before="240"/>
    </w:pPr>
    <w:rPr>
      <w:rFonts w:ascii="Liberation Sans" w:eastAsia="Noto Sans"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pPr>
    <w:rPr>
      <w:rFonts w:cs="Mangal"/>
      <w:i/>
      <w:iCs/>
      <w:sz w:val="24"/>
      <w:szCs w:val="24"/>
    </w:rPr>
  </w:style>
  <w:style w:type="paragraph" w:customStyle="1" w:styleId="Index">
    <w:name w:val="Index"/>
    <w:basedOn w:val="Normal"/>
    <w:qFormat/>
    <w:pPr>
      <w:suppressLineNumbers/>
    </w:pPr>
    <w:rPr>
      <w:rFonts w:cs="Mangal"/>
      <w:lang/>
    </w:rPr>
  </w:style>
  <w:style w:type="paragraph" w:styleId="CommentText">
    <w:name w:val="annotation text"/>
    <w:basedOn w:val="Normal"/>
    <w:link w:val="CommentTextChar"/>
    <w:uiPriority w:val="99"/>
    <w:semiHidden/>
    <w:unhideWhenUsed/>
    <w:qFormat/>
    <w:rsid w:val="0019352B"/>
    <w:rPr>
      <w:sz w:val="20"/>
      <w:szCs w:val="20"/>
    </w:rPr>
  </w:style>
  <w:style w:type="paragraph" w:styleId="CommentSubject">
    <w:name w:val="annotation subject"/>
    <w:basedOn w:val="CommentText"/>
    <w:next w:val="CommentText"/>
    <w:link w:val="CommentSubjectChar"/>
    <w:uiPriority w:val="99"/>
    <w:semiHidden/>
    <w:unhideWhenUsed/>
    <w:qFormat/>
    <w:rsid w:val="0019352B"/>
    <w:rPr>
      <w:b/>
      <w:bCs/>
    </w:rPr>
  </w:style>
  <w:style w:type="paragraph" w:styleId="BalloonText">
    <w:name w:val="Balloon Text"/>
    <w:basedOn w:val="Normal"/>
    <w:link w:val="BalloonTextChar"/>
    <w:uiPriority w:val="99"/>
    <w:semiHidden/>
    <w:unhideWhenUsed/>
    <w:qFormat/>
    <w:rsid w:val="0019352B"/>
    <w:pPr>
      <w:spacing w:after="0"/>
    </w:pPr>
    <w:rPr>
      <w:rFonts w:ascii="Segoe UI" w:hAnsi="Segoe UI" w:cs="Segoe UI"/>
      <w:sz w:val="18"/>
      <w:szCs w:val="18"/>
    </w:rPr>
  </w:style>
  <w:style w:type="paragraph" w:styleId="ListParagraph">
    <w:name w:val="List Paragraph"/>
    <w:basedOn w:val="Normal"/>
    <w:uiPriority w:val="34"/>
    <w:qFormat/>
    <w:rsid w:val="0019352B"/>
    <w:pPr>
      <w:ind w:left="720"/>
      <w:contextualSpacing/>
    </w:pPr>
  </w:style>
  <w:style w:type="table" w:styleId="ListTable3-Accent2">
    <w:name w:val="List Table 3 Accent 2"/>
    <w:basedOn w:val="TableNormal"/>
    <w:uiPriority w:val="48"/>
    <w:rsid w:val="002606DB"/>
    <w:rPr>
      <w:lang w:val="en-US"/>
    </w:rPr>
    <w:tblPr>
      <w:tblStyleRowBandSize w:val="1"/>
      <w:tblStyleColBandSize w:val="1"/>
      <w:tblBorders>
        <w:top w:val="single" w:sz="4" w:space="0" w:color="F58220"/>
        <w:left w:val="single" w:sz="4" w:space="0" w:color="F58220"/>
        <w:bottom w:val="single" w:sz="4" w:space="0" w:color="F58220"/>
        <w:right w:val="single" w:sz="4" w:space="0" w:color="F58220"/>
      </w:tblBorders>
    </w:tblPr>
    <w:tcPr>
      <w:shd w:val="clear" w:color="auto" w:fill="auto"/>
    </w:tc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1">
    <w:name w:val="List Table 3 Accent 1"/>
    <w:basedOn w:val="TableNormal"/>
    <w:uiPriority w:val="48"/>
    <w:rsid w:val="002606DB"/>
    <w:rPr>
      <w:lang w:val="en-US"/>
    </w:rPr>
    <w:tblPr>
      <w:tblStyleRowBandSize w:val="1"/>
      <w:tblStyleColBandSize w:val="1"/>
      <w:tblBorders>
        <w:top w:val="single" w:sz="4" w:space="0" w:color="003462"/>
        <w:left w:val="single" w:sz="4" w:space="0" w:color="003462"/>
        <w:bottom w:val="single" w:sz="4" w:space="0" w:color="003462"/>
        <w:right w:val="single" w:sz="4" w:space="0" w:color="003462"/>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1Light-Accent3">
    <w:name w:val="List Table 1 Light Accent 3"/>
    <w:basedOn w:val="TableNormal"/>
    <w:uiPriority w:val="46"/>
    <w:rsid w:val="002606DB"/>
    <w:rPr>
      <w:lang w:val="en-US"/>
    </w:rPr>
    <w:tblPr>
      <w:tblStyleRowBandSize w:val="1"/>
      <w:tblStyleColBandSize w:val="1"/>
    </w:tblPr>
    <w:tblStylePr w:type="firstRow">
      <w:rPr>
        <w:b/>
        <w:bCs/>
      </w:rPr>
      <w:tblPr/>
      <w:tcPr>
        <w:tcBorders>
          <w:bottom w:val="single" w:sz="4" w:space="0" w:color="A5A5A5" w:themeColor="accent3"/>
        </w:tcBorders>
      </w:tcPr>
    </w:tblStylePr>
    <w:tblStylePr w:type="lastRow">
      <w:rPr>
        <w:b/>
        <w:bCs/>
      </w:rPr>
      <w:tblPr/>
      <w:tcPr>
        <w:tcBorders>
          <w:top w:val="sing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1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23186">
      <w:bodyDiv w:val="1"/>
      <w:marLeft w:val="0"/>
      <w:marRight w:val="0"/>
      <w:marTop w:val="0"/>
      <w:marBottom w:val="0"/>
      <w:divBdr>
        <w:top w:val="none" w:sz="0" w:space="0" w:color="auto"/>
        <w:left w:val="none" w:sz="0" w:space="0" w:color="auto"/>
        <w:bottom w:val="none" w:sz="0" w:space="0" w:color="auto"/>
        <w:right w:val="none" w:sz="0" w:space="0" w:color="auto"/>
      </w:divBdr>
    </w:div>
    <w:div w:id="765274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ternal-displacement.org/monitoring-tools" TargetMode="External"/><Relationship Id="rId13" Type="http://schemas.openxmlformats.org/officeDocument/2006/relationships/hyperlink" Target="https://population.un.org/wpp/DataQu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xlstandard.org/how-it-work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xlstandard.org/" TargetMode="External"/><Relationship Id="rId5" Type="http://schemas.openxmlformats.org/officeDocument/2006/relationships/styles" Target="styles.xml"/><Relationship Id="rId15" Type="http://schemas.openxmlformats.org/officeDocument/2006/relationships/hyperlink" Target="https://www.internal-displacement.org/monitoring-tools" TargetMode="External"/><Relationship Id="rId10" Type="http://schemas.openxmlformats.org/officeDocument/2006/relationships/hyperlink" Target="https://www.internal-displacement.org/monitoring-tools" TargetMode="External"/><Relationship Id="rId4" Type="http://schemas.openxmlformats.org/officeDocument/2006/relationships/numbering" Target="numbering.xml"/><Relationship Id="rId9" Type="http://schemas.openxmlformats.org/officeDocument/2006/relationships/hyperlink" Target="https://www.internal-displacement.org/database/displacement-data" TargetMode="External"/><Relationship Id="rId14" Type="http://schemas.openxmlformats.org/officeDocument/2006/relationships/hyperlink" Target="https://github.com/idmc-labs/ghjulia-internship/tree/main/PopDataDis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E6F87A0A9DA645B4BA40D3A0D72434" ma:contentTypeVersion="11" ma:contentTypeDescription="Create a new document." ma:contentTypeScope="" ma:versionID="7351ed13c4471ccd174df89b0c0ad94c">
  <xsd:schema xmlns:xsd="http://www.w3.org/2001/XMLSchema" xmlns:xs="http://www.w3.org/2001/XMLSchema" xmlns:p="http://schemas.microsoft.com/office/2006/metadata/properties" xmlns:ns2="4284aa08-0c30-46b1-9b11-8ba2c103f419" xmlns:ns3="849ae32a-e37c-460a-90bd-9d85b4e69a85" targetNamespace="http://schemas.microsoft.com/office/2006/metadata/properties" ma:root="true" ma:fieldsID="737b025734189ad67809680c53542ea6" ns2:_="" ns3:_="">
    <xsd:import namespace="4284aa08-0c30-46b1-9b11-8ba2c103f419"/>
    <xsd:import namespace="849ae32a-e37c-460a-90bd-9d85b4e69a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4aa08-0c30-46b1-9b11-8ba2c103f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ae32a-e37c-460a-90bd-9d85b4e69a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B8CBE9-1C39-46F3-9BE7-C0C4A5CA2C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5E43CB-A2A9-4D50-A211-C447C2C7EDCA}">
  <ds:schemaRefs>
    <ds:schemaRef ds:uri="http://schemas.microsoft.com/sharepoint/v3/contenttype/forms"/>
  </ds:schemaRefs>
</ds:datastoreItem>
</file>

<file path=customXml/itemProps3.xml><?xml version="1.0" encoding="utf-8"?>
<ds:datastoreItem xmlns:ds="http://schemas.openxmlformats.org/officeDocument/2006/customXml" ds:itemID="{DCDFB118-110C-4C26-BA16-9F952446A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4aa08-0c30-46b1-9b11-8ba2c103f419"/>
    <ds:schemaRef ds:uri="849ae32a-e37c-460a-90bd-9d85b4e69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Espinosa</dc:creator>
  <dc:description/>
  <cp:lastModifiedBy>Sylvain Ponserre</cp:lastModifiedBy>
  <cp:revision>2</cp:revision>
  <dcterms:created xsi:type="dcterms:W3CDTF">2022-06-01T14:20:00Z</dcterms:created>
  <dcterms:modified xsi:type="dcterms:W3CDTF">2022-06-01T14:20:00Z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0x010100FEE6F87A0A9DA645B4BA40D3A0D72434</vt:lpwstr>
  </property>
</Properties>
</file>