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Times New Roman" w:cs="Times New Roman"/>
          <w:b/>
          <w:color w:val="000000"/>
          <w:sz w:val="32"/>
          <w:lang w:val="en-GB" w:eastAsia="en-GB" w:bidi="en-GB"/>
        </w:rPr>
        <w:t xml:space="preserve">From</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Prompt</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to</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State:</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Verifiable</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Grounding</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and</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Operative</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Replay</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for</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LLM-Mediated</w:t>
      </w:r>
      <w:r>
        <w:rPr>
          <w:rFonts w:ascii="Times New Roman" w:hAnsi="Times New Roman" w:eastAsia="Times New Roman" w:cs="Times New Roman"/>
          <w:b/>
          <w:color w:val="000000"/>
          <w:sz w:val="32"/>
          <w:lang w:val="en-GB" w:eastAsia="en-GB" w:bidi="en-GB"/>
        </w:rPr>
        <w:t xml:space="preserve"> </w:t>
      </w:r>
      <w:r>
        <w:rPr>
          <w:rFonts w:ascii="Times New Roman" w:hAnsi="Times New Roman" w:eastAsia="Times New Roman" w:cs="Times New Roman"/>
          <w:b/>
          <w:color w:val="000000"/>
          <w:sz w:val="32"/>
          <w:lang w:val="en-GB" w:eastAsia="en-GB" w:bidi="en-GB"/>
        </w:rPr>
        <w:t xml:space="preserve">Control</w:t>
      </w:r>
    </w:p>
    <w:p>
      <w:pPr>
        <w:jc w:val="center"/>
      </w:pPr>
      <w:r>
        <w:rPr>
          <w:rFonts w:ascii="Times New Roman" w:hAnsi="Times New Roman" w:eastAsia="Times New Roman" w:cs="Times New Roman"/>
          <w:color w:val="000000"/>
          <w:sz w:val="21"/>
          <w:lang w:val="en-GB" w:eastAsia="en-GB" w:bidi="en-GB"/>
        </w:rPr>
        <w:t>Tomas Laurenzo</w:t>
      </w:r>
    </w:p>
    <w:p>
      <w:pPr>
        <w:spacing w:after="180"/>
        <w:jc w:val="center"/>
      </w:pPr>
      <w:r>
        <w:rPr>
          <w:rFonts w:ascii="Times New Roman" w:hAnsi="Times New Roman" w:eastAsia="Times New Roman" w:cs="Times New Roman"/>
          <w:color w:val="000000"/>
          <w:sz w:val="21"/>
          <w:lang w:val="en-GB" w:eastAsia="en-GB" w:bidi="en-GB"/>
        </w:rPr>
        <w:t>Department of Critical Media Practices</w:t>
        <w:br/>
        <w:t>University of Colorado Boulder</w:t>
        <w:br/>
        <w:t>Boulder, Colorado, USA</w:t>
        <w:br/>
        <w:t>tomas@laurenzo.net</w:t>
      </w:r>
    </w:p>
    <w:p>
      <w:pPr>
        <w:pStyle w:val="AbstractTitle"/>
      </w:pPr>
      <w:r>
        <w:rPr>
          <w:rFonts w:ascii="Times New Roman" w:hAnsi="Times New Roman" w:eastAsia="Times New Roman" w:cs="Times New Roman"/>
          <w:b/>
          <w:color w:val="000000"/>
          <w:sz w:val="21"/>
          <w:lang w:val="en-GB" w:eastAsia="en-GB" w:bidi="en-GB"/>
        </w:rPr>
        <w:t xml:space="preserve">Abstract</w:t>
      </w:r>
    </w:p>
    <w:p>
      <w:pPr>
        <w:pStyle w:val="Abstract"/>
      </w:pPr>
      <w:r>
        <w:rPr>
          <w:rFonts w:ascii="Times New Roman" w:hAnsi="Times New Roman" w:eastAsia="Times New Roman" w:cs="Times New Roman"/>
          <w:color w:val="000000"/>
          <w:sz w:val="19"/>
          <w:lang w:val="en-GB" w:eastAsia="en-GB" w:bidi="en-GB"/>
        </w:rPr>
        <w:t xml:space="preserve">When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large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language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model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mediates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executable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action,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interaction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crosses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two</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distinct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boundaries: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stochastic</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model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produces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text,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application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grounds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that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text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into</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deterministic</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command.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Repeating</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model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call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therefore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neither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necessary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nor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generally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sufficient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to</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verify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resulting</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state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change.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This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paper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defines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evidence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contract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for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bounded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LLM-mediated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systems.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trace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records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adapter-boundary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invocation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record,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returned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text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or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commitment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to</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response-to-command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grounding,</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frozen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domain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rules,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semantic</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events,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pre-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post-action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states.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Four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verification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predicates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check</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trace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integrity,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invocation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reconstruction,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grounding</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consistency,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operative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replay.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We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implement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contract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BatLLM,</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open-source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game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which</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human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instructions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are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mediated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local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language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models.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artefact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includes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versioned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schema,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three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text-retention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profiles,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canonical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commitments,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provider-neutral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recorder,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headless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verifier,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independently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implemented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reference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semantics.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60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generated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sessions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comprising</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1080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transitions,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all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recorded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states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events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replayed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equivalently.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Full-retention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traces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reconstructed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360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application-level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invocations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independently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verified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360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groundings.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Differential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testing</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matched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production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reference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semantics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all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5000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cases.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verifier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detected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all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1560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applicable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re-anchored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perturbations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and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accepted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all</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180</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benign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serialisation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variants.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The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result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not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model-output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reproducibility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or</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generic</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agent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replay;</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is</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precise,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testable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account</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of</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how</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retained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linguistic</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evidence</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produced</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a</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domain</w:t>
      </w:r>
      <w:r>
        <w:rPr>
          <w:rFonts w:ascii="Times New Roman" w:hAnsi="Times New Roman" w:eastAsia="Times New Roman" w:cs="Times New Roman"/>
          <w:color w:val="000000"/>
          <w:sz w:val="19"/>
          <w:lang w:val="en-GB" w:eastAsia="en-GB" w:bidi="en-GB"/>
        </w:rPr>
        <w:t xml:space="preserve"> </w:t>
      </w:r>
      <w:r>
        <w:rPr>
          <w:rFonts w:ascii="Times New Roman" w:hAnsi="Times New Roman" w:eastAsia="Times New Roman" w:cs="Times New Roman"/>
          <w:color w:val="000000"/>
          <w:sz w:val="19"/>
          <w:lang w:val="en-GB" w:eastAsia="en-GB" w:bidi="en-GB"/>
        </w:rPr>
        <w:t xml:space="preserve">state.</w:t>
      </w:r>
    </w:p>
    <w:p>
      <w:pPr>
        <w:pStyle w:val="FirstParagraph"/>
        <w:spacing w:after="160"/>
        <w:ind w:left="397" w:right="397"/>
      </w:pPr>
      <w:r>
        <w:rPr>
          <w:rFonts w:ascii="Times New Roman" w:hAnsi="Times New Roman" w:eastAsia="Times New Roman" w:cs="Times New Roman"/>
          <w:b/>
          <w:color w:val="000000"/>
          <w:sz w:val="21"/>
          <w:lang w:val="en-GB" w:eastAsia="en-GB" w:bidi="en-GB"/>
        </w:rPr>
        <w:t>Keywords—</w:t>
      </w:r>
      <w:r>
        <w:rPr>
          <w:rFonts w:ascii="Times New Roman" w:hAnsi="Times New Roman" w:eastAsia="Times New Roman" w:cs="Times New Roman"/>
          <w:i/>
          <w:color w:val="000000"/>
          <w:sz w:val="21"/>
          <w:lang w:val="en-GB" w:eastAsia="en-GB" w:bidi="en-GB"/>
        </w:rPr>
        <w:t>large language models, provenance, replay, grounding, verification, human–AI interaction</w:t>
      </w:r>
    </w:p>
    <w:bookmarkStart w:id="20" w:name="introduction"/>
    <w:p>
      <w:pPr>
        <w:pStyle w:val="Heading1"/>
      </w:pPr>
      <w:r>
        <w:rPr>
          <w:rFonts w:ascii="Times New Roman" w:hAnsi="Times New Roman" w:eastAsia="Times New Roman" w:cs="Times New Roman"/>
          <w:b/>
          <w:color w:val="000000"/>
          <w:sz w:val="24"/>
          <w:lang w:val="en-GB" w:eastAsia="en-GB" w:bidi="en-GB"/>
        </w:rPr>
        <w:t xml:space="preserve">Introduction</w:t>
      </w:r>
    </w:p>
    <w:p>
      <w:pPr>
        <w:pStyle w:val="FirstParagraph"/>
      </w:pPr>
      <w:r>
        <w:rPr>
          <w:rFonts w:ascii="Times New Roman" w:hAnsi="Times New Roman" w:eastAsia="Times New Roman" w:cs="Times New Roman"/>
          <w:color w:val="000000"/>
          <w:sz w:val="21"/>
          <w:lang w:val="en-GB" w:eastAsia="en-GB" w:bidi="en-GB"/>
        </w:rPr>
        <w:t xml:space="preserve">Large language models (LLMs) increasingly mediate actions in software environments. A human request may be combined with system instructions and world state, submitted to a model, parsed as a command, and executed by conventional code. Treating this sequence as one operation conceals two different computational regimes. Model inference is probabilistic and can be numerically nondeterministic across hardware, batching, precision, and execution order </w:t>
      </w:r>
      <w:r>
        <w:rPr>
          <w:rFonts w:ascii="Times New Roman" w:hAnsi="Times New Roman" w:eastAsia="Times New Roman" w:cs="Times New Roman"/>
          <w:color w:val="000000"/>
          <w:sz w:val="21"/>
          <w:lang w:val="en-GB" w:eastAsia="en-GB" w:bidi="en-GB"/>
        </w:rPr>
        <w:t xml:space="preserve">[1]</w:t>
      </w:r>
      <w:r>
        <w:rPr>
          <w:rFonts w:ascii="Times New Roman" w:hAnsi="Times New Roman" w:eastAsia="Times New Roman" w:cs="Times New Roman"/>
          <w:color w:val="000000"/>
          <w:sz w:val="21"/>
          <w:lang w:val="en-GB" w:eastAsia="en-GB" w:bidi="en-GB"/>
        </w:rPr>
        <w:t xml:space="preserve">; post-grounding execution may nevertheless be deterministic.</w:t>
      </w:r>
    </w:p>
    <w:p>
      <w:pPr>
        <w:pStyle w:val="BodyText"/>
      </w:pPr>
      <w:r>
        <w:rPr>
          <w:rFonts w:ascii="Times New Roman" w:hAnsi="Times New Roman" w:eastAsia="Times New Roman" w:cs="Times New Roman"/>
          <w:color w:val="000000"/>
          <w:sz w:val="21"/>
          <w:lang w:val="en-GB" w:eastAsia="en-GB" w:bidi="en-GB"/>
        </w:rPr>
        <w:t xml:space="preserve">This distinction matters for reproducibility and audit. Calling a model again does not establish which response was obtained previously, and a prompt–response log does not establish what application state followed. The relevant question for a bounded action system is narrower: can the application reconstruct the invocation it issued, preserve or commit to the response it received, verify the command derived from that response, and replay the command against the same domain semantics?</w:t>
      </w:r>
    </w:p>
    <w:p>
      <w:pPr>
        <w:pStyle w:val="BodyText"/>
      </w:pPr>
      <w:r>
        <w:rPr>
          <w:rFonts w:ascii="Times New Roman" w:hAnsi="Times New Roman" w:eastAsia="Times New Roman" w:cs="Times New Roman"/>
          <w:color w:val="000000"/>
          <w:sz w:val="21"/>
          <w:lang w:val="en-GB" w:eastAsia="en-GB" w:bidi="en-GB"/>
        </w:rPr>
        <w:t xml:space="preserve">We investigate this question through BatLLM </w:t>
      </w:r>
      <w:r>
        <w:rPr>
          <w:rFonts w:ascii="Times New Roman" w:hAnsi="Times New Roman" w:eastAsia="Times New Roman" w:cs="Times New Roman"/>
          <w:color w:val="000000"/>
          <w:sz w:val="21"/>
          <w:lang w:val="en-GB" w:eastAsia="en-GB" w:bidi="en-GB"/>
        </w:rPr>
        <w:t xml:space="preserve">[2]</w:t>
      </w:r>
      <w:r>
        <w:rPr>
          <w:rFonts w:ascii="Times New Roman" w:hAnsi="Times New Roman" w:eastAsia="Times New Roman" w:cs="Times New Roman"/>
          <w:color w:val="000000"/>
          <w:sz w:val="21"/>
          <w:lang w:val="en-GB" w:eastAsia="en-GB" w:bidi="en-GB"/>
        </w:rPr>
        <w:t xml:space="preserve">, a turn-based game in which two humans influence software agents through natural-language prompts. Local LLMs return actions in a compact command language; the game then applies movement, rotation, shielding, shooting, collision, and damage rules. This arrangement makes the language-to-action boundary explicit and provides a small but non-trivial deterministic domain.</w:t>
      </w:r>
    </w:p>
    <w:p>
      <w:pPr>
        <w:pStyle w:val="BodyText"/>
      </w:pPr>
      <w:r>
        <w:rPr>
          <w:rFonts w:ascii="Times New Roman" w:hAnsi="Times New Roman" w:eastAsia="Times New Roman" w:cs="Times New Roman"/>
          <w:color w:val="000000"/>
          <w:sz w:val="21"/>
          <w:lang w:val="en-GB" w:eastAsia="en-GB" w:bidi="en-GB"/>
        </w:rPr>
        <w:t xml:space="preserve">The paper contributes:</w:t>
      </w:r>
    </w:p>
    <w:p>
      <w:pPr>
        <w:numPr>
          <w:ilvl w:val="0"/>
          <w:numId w:val="1001"/>
        </w:numPr>
      </w:pPr>
      <w:r>
        <w:rPr>
          <w:rFonts w:ascii="Times New Roman" w:hAnsi="Times New Roman" w:eastAsia="Times New Roman" w:cs="Times New Roman"/>
          <w:color w:val="000000"/>
          <w:sz w:val="21"/>
          <w:lang w:val="en-GB" w:eastAsia="en-GB" w:bidi="en-GB"/>
        </w:rPr>
        <w:t xml:space="preserve">an evidence model that distinguishes the application-level invocation, model response, grounding operation, and domain transition;</w:t>
      </w:r>
    </w:p>
    <w:p>
      <w:pPr>
        <w:numPr>
          <w:ilvl w:val="0"/>
          <w:numId w:val="1001"/>
        </w:numPr>
      </w:pPr>
      <w:r>
        <w:rPr>
          <w:rFonts w:ascii="Times New Roman" w:hAnsi="Times New Roman" w:eastAsia="Times New Roman" w:cs="Times New Roman"/>
          <w:color w:val="000000"/>
          <w:sz w:val="21"/>
          <w:lang w:val="en-GB" w:eastAsia="en-GB" w:bidi="en-GB"/>
        </w:rPr>
        <w:t xml:space="preserve">four verification predicates with explicit assumptions and text-retention-dependent availability;</w:t>
      </w:r>
    </w:p>
    <w:p>
      <w:pPr>
        <w:numPr>
          <w:ilvl w:val="0"/>
          <w:numId w:val="1001"/>
        </w:numPr>
      </w:pPr>
      <w:r>
        <w:rPr>
          <w:rFonts w:ascii="Times New Roman" w:hAnsi="Times New Roman" w:eastAsia="Times New Roman" w:cs="Times New Roman"/>
          <w:color w:val="000000"/>
          <w:sz w:val="21"/>
          <w:lang w:val="en-GB" w:eastAsia="en-GB" w:bidi="en-GB"/>
        </w:rPr>
        <w:t xml:space="preserve">a BatLLM implementation comprising a schema, recorder, verifier, canonical commitments, and privacy-aware retention profiles; and</w:t>
      </w:r>
    </w:p>
    <w:p>
      <w:pPr>
        <w:numPr>
          <w:ilvl w:val="0"/>
          <w:numId w:val="1001"/>
        </w:numPr>
      </w:pPr>
      <w:r>
        <w:rPr>
          <w:rFonts w:ascii="Times New Roman" w:hAnsi="Times New Roman" w:eastAsia="Times New Roman" w:cs="Times New Roman"/>
          <w:color w:val="000000"/>
          <w:sz w:val="21"/>
          <w:lang w:val="en-GB" w:eastAsia="en-GB" w:bidi="en-GB"/>
        </w:rPr>
        <w:t xml:space="preserve">an evaluation combining trace replay, independent differential semantics, re-anchored perturbations at multiple trace positions, benign serialisation controls, and overhead measurement.</w:t>
      </w:r>
    </w:p>
    <w:p>
      <w:pPr>
        <w:pStyle w:val="FirstParagraph"/>
      </w:pPr>
      <w:r>
        <w:rPr>
          <w:rFonts w:ascii="Times New Roman" w:hAnsi="Times New Roman" w:eastAsia="Times New Roman" w:cs="Times New Roman"/>
          <w:color w:val="000000"/>
          <w:sz w:val="21"/>
          <w:lang w:val="en-GB" w:eastAsia="en-GB" w:bidi="en-GB"/>
        </w:rPr>
        <w:t xml:space="preserve">The claim is deliberately specific. The system does not reproduce a model output, authenticate a trace author, capture transport-layer bytes, or provide general-purpose multi-agent provenance. It verifies the recorded path from an application invocation to a grounded command and from that command to a domain state.</w:t>
      </w:r>
    </w:p>
    <w:bookmarkEnd w:id="20"/>
    <w:bookmarkStart w:id="21" w:name="related-work"/>
    <w:p>
      <w:pPr>
        <w:pStyle w:val="Heading1"/>
      </w:pPr>
      <w:r>
        <w:rPr>
          <w:rFonts w:ascii="Times New Roman" w:hAnsi="Times New Roman" w:eastAsia="Times New Roman" w:cs="Times New Roman"/>
          <w:b/>
          <w:color w:val="000000"/>
          <w:sz w:val="24"/>
          <w:lang w:val="en-GB" w:eastAsia="en-GB" w:bidi="en-GB"/>
        </w:rPr>
        <w:t xml:space="preserve">Related Work</w:t>
      </w:r>
    </w:p>
    <w:p>
      <w:pPr>
        <w:pStyle w:val="FirstParagraph"/>
      </w:pPr>
      <w:r>
        <w:rPr>
          <w:rFonts w:ascii="Times New Roman" w:hAnsi="Times New Roman" w:eastAsia="Times New Roman" w:cs="Times New Roman"/>
          <w:color w:val="000000"/>
          <w:sz w:val="21"/>
          <w:lang w:val="en-GB" w:eastAsia="en-GB" w:bidi="en-GB"/>
        </w:rPr>
        <w:t xml:space="preserve">Games and interactive software have become established environments for evaluating LLM agents. AgentBoard evaluates multi-turn agents through fine-grained progress measures </w:t>
      </w:r>
      <w:r>
        <w:rPr>
          <w:rFonts w:ascii="Times New Roman" w:hAnsi="Times New Roman" w:eastAsia="Times New Roman" w:cs="Times New Roman"/>
          <w:color w:val="000000"/>
          <w:sz w:val="21"/>
          <w:lang w:val="en-GB" w:eastAsia="en-GB" w:bidi="en-GB"/>
        </w:rPr>
        <w:t xml:space="preserve">[3]</w:t>
      </w:r>
      <w:r>
        <w:rPr>
          <w:rFonts w:ascii="Times New Roman" w:hAnsi="Times New Roman" w:eastAsia="Times New Roman" w:cs="Times New Roman"/>
          <w:color w:val="000000"/>
          <w:sz w:val="21"/>
          <w:lang w:val="en-GB" w:eastAsia="en-GB" w:bidi="en-GB"/>
        </w:rPr>
        <w:t xml:space="preserve">; Cradle addresses general computer control through screen-based interaction </w:t>
      </w:r>
      <w:r>
        <w:rPr>
          <w:rFonts w:ascii="Times New Roman" w:hAnsi="Times New Roman" w:eastAsia="Times New Roman" w:cs="Times New Roman"/>
          <w:color w:val="000000"/>
          <w:sz w:val="21"/>
          <w:lang w:val="en-GB" w:eastAsia="en-GB" w:bidi="en-GB"/>
        </w:rPr>
        <w:t xml:space="preserve">[4]</w:t>
      </w:r>
      <w:r>
        <w:rPr>
          <w:rFonts w:ascii="Times New Roman" w:hAnsi="Times New Roman" w:eastAsia="Times New Roman" w:cs="Times New Roman"/>
          <w:color w:val="000000"/>
          <w:sz w:val="21"/>
          <w:lang w:val="en-GB" w:eastAsia="en-GB" w:bidi="en-GB"/>
        </w:rPr>
        <w:t xml:space="preserve">. These systems motivate process-level analysis but do not by themselves define a replay contract for an application’s language-to-state boundary.</w:t>
      </w:r>
    </w:p>
    <w:p>
      <w:pPr>
        <w:pStyle w:val="BodyText"/>
      </w:pPr>
      <w:r>
        <w:rPr>
          <w:rFonts w:ascii="Times New Roman" w:hAnsi="Times New Roman" w:eastAsia="Times New Roman" w:cs="Times New Roman"/>
          <w:color w:val="000000"/>
          <w:sz w:val="21"/>
          <w:lang w:val="en-GB" w:eastAsia="en-GB" w:bidi="en-GB"/>
        </w:rPr>
        <w:t xml:space="preserve">Provenance standards provide a broader foundation. W3C PROV represents entities, activities, agents, and derivations </w:t>
      </w:r>
      <w:r>
        <w:rPr>
          <w:rFonts w:ascii="Times New Roman" w:hAnsi="Times New Roman" w:eastAsia="Times New Roman" w:cs="Times New Roman"/>
          <w:color w:val="000000"/>
          <w:sz w:val="21"/>
          <w:lang w:val="en-GB" w:eastAsia="en-GB" w:bidi="en-GB"/>
        </w:rPr>
        <w:t xml:space="preserve">[5]</w:t>
      </w:r>
      <w:r>
        <w:rPr>
          <w:rFonts w:ascii="Times New Roman" w:hAnsi="Times New Roman" w:eastAsia="Times New Roman" w:cs="Times New Roman"/>
          <w:color w:val="000000"/>
          <w:sz w:val="21"/>
          <w:lang w:val="en-GB" w:eastAsia="en-GB" w:bidi="en-GB"/>
        </w:rPr>
        <w:t xml:space="preserve">. OpenTelemetry’s generative-AI conventions describe ordered input and output messages and model attributes, while explicitly treating captured content as potentially sensitive </w:t>
      </w:r>
      <w:r>
        <w:rPr>
          <w:rFonts w:ascii="Times New Roman" w:hAnsi="Times New Roman" w:eastAsia="Times New Roman" w:cs="Times New Roman"/>
          <w:color w:val="000000"/>
          <w:sz w:val="21"/>
          <w:lang w:val="en-GB" w:eastAsia="en-GB" w:bidi="en-GB"/>
        </w:rPr>
        <w:t xml:space="preserve">[6]</w:t>
      </w:r>
      <w:r>
        <w:rPr>
          <w:rFonts w:ascii="Times New Roman" w:hAnsi="Times New Roman" w:eastAsia="Times New Roman" w:cs="Times New Roman"/>
          <w:color w:val="000000"/>
          <w:sz w:val="21"/>
          <w:lang w:val="en-GB" w:eastAsia="en-GB" w:bidi="en-GB"/>
        </w:rPr>
        <w:t xml:space="preserve">. Recent work extends provenance to agentic systems. PROV-AGENT integrates prompts, responses, decisions, and downstream workflow lineage </w:t>
      </w:r>
      <w:r>
        <w:rPr>
          <w:rFonts w:ascii="Times New Roman" w:hAnsi="Times New Roman" w:eastAsia="Times New Roman" w:cs="Times New Roman"/>
          <w:color w:val="000000"/>
          <w:sz w:val="21"/>
          <w:lang w:val="en-GB" w:eastAsia="en-GB" w:bidi="en-GB"/>
        </w:rPr>
        <w:t xml:space="preserve">[7]</w:t>
      </w:r>
      <w:r>
        <w:rPr>
          <w:rFonts w:ascii="Times New Roman" w:hAnsi="Times New Roman" w:eastAsia="Times New Roman" w:cs="Times New Roman"/>
          <w:color w:val="000000"/>
          <w:sz w:val="21"/>
          <w:lang w:val="en-GB" w:eastAsia="en-GB" w:bidi="en-GB"/>
        </w:rPr>
        <w:t xml:space="preserve">; a recent survey organises evidence tracing and execution provenance around observability, tool use, memory, audit, and recovery </w:t>
      </w:r>
      <w:r>
        <w:rPr>
          <w:rFonts w:ascii="Times New Roman" w:hAnsi="Times New Roman" w:eastAsia="Times New Roman" w:cs="Times New Roman"/>
          <w:color w:val="000000"/>
          <w:sz w:val="21"/>
          <w:lang w:val="en-GB" w:eastAsia="en-GB" w:bidi="en-GB"/>
        </w:rPr>
        <w:t xml:space="preserve">[8]</w:t>
      </w:r>
      <w:r>
        <w:rPr>
          <w:rFonts w:ascii="Times New Roman" w:hAnsi="Times New Roman" w:eastAsia="Times New Roman" w:cs="Times New Roman"/>
          <w:color w:val="000000"/>
          <w:sz w:val="21"/>
          <w:lang w:val="en-GB" w:eastAsia="en-GB" w:bidi="en-GB"/>
        </w:rPr>
        <w:t xml:space="preserve">.</w:t>
      </w:r>
    </w:p>
    <w:p>
      <w:pPr>
        <w:pStyle w:val="BodyText"/>
      </w:pPr>
      <w:r>
        <w:rPr>
          <w:rFonts w:ascii="Times New Roman" w:hAnsi="Times New Roman" w:eastAsia="Times New Roman" w:cs="Times New Roman"/>
          <w:color w:val="000000"/>
          <w:sz w:val="21"/>
          <w:lang w:val="en-GB" w:eastAsia="en-GB" w:bidi="en-GB"/>
        </w:rPr>
        <w:t xml:space="preserve">Record-and-replay has also entered LLM research. AgentRR reuses successful trajectories as experience for subsequent tasks </w:t>
      </w:r>
      <w:r>
        <w:rPr>
          <w:rFonts w:ascii="Times New Roman" w:hAnsi="Times New Roman" w:eastAsia="Times New Roman" w:cs="Times New Roman"/>
          <w:color w:val="000000"/>
          <w:sz w:val="21"/>
          <w:lang w:val="en-GB" w:eastAsia="en-GB" w:bidi="en-GB"/>
        </w:rPr>
        <w:t xml:space="preserve">[9]</w:t>
      </w:r>
      <w:r>
        <w:rPr>
          <w:rFonts w:ascii="Times New Roman" w:hAnsi="Times New Roman" w:eastAsia="Times New Roman" w:cs="Times New Roman"/>
          <w:color w:val="000000"/>
          <w:sz w:val="21"/>
          <w:lang w:val="en-GB" w:eastAsia="en-GB" w:bidi="en-GB"/>
        </w:rPr>
        <w:t xml:space="preserve">. Prompt Scene Investigation records prompt–response evidence for forensic behavioural replay </w:t>
      </w:r>
      <w:r>
        <w:rPr>
          <w:rFonts w:ascii="Times New Roman" w:hAnsi="Times New Roman" w:eastAsia="Times New Roman" w:cs="Times New Roman"/>
          <w:color w:val="000000"/>
          <w:sz w:val="21"/>
          <w:lang w:val="en-GB" w:eastAsia="en-GB" w:bidi="en-GB"/>
        </w:rPr>
        <w:t xml:space="preserve">[10]</w:t>
      </w:r>
      <w:r>
        <w:rPr>
          <w:rFonts w:ascii="Times New Roman" w:hAnsi="Times New Roman" w:eastAsia="Times New Roman" w:cs="Times New Roman"/>
          <w:color w:val="000000"/>
          <w:sz w:val="21"/>
          <w:lang w:val="en-GB" w:eastAsia="en-GB" w:bidi="en-GB"/>
        </w:rPr>
        <w:t xml:space="preserve">.</w:t>
      </w:r>
      <w:r>
        <w:rPr>
          <w:rFonts w:ascii="Times New Roman" w:hAnsi="Times New Roman" w:eastAsia="Times New Roman" w:cs="Times New Roman"/>
          <w:color w:val="000000"/>
          <w:sz w:val="21"/>
          <w:lang w:val="en-GB" w:eastAsia="en-GB" w:bidi="en-GB"/>
        </w:rPr>
        <w:t xml:space="preserve"> </w:t>
      </w:r>
      <w:r>
        <w:rPr>
          <w:iCs/>
          <w:rFonts w:ascii="Times New Roman" w:hAnsi="Times New Roman" w:eastAsia="Times New Roman" w:cs="Times New Roman"/>
          <w:i/>
          <w:color w:val="000000"/>
          <w:sz w:val="21"/>
          <w:lang w:val="en-GB" w:eastAsia="en-GB" w:bidi="en-GB"/>
        </w:rPr>
        <w:t xml:space="preserve">agrepl</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captures external interactions and replays them without outbound access </w:t>
      </w:r>
      <w:r>
        <w:rPr>
          <w:rFonts w:ascii="Times New Roman" w:hAnsi="Times New Roman" w:eastAsia="Times New Roman" w:cs="Times New Roman"/>
          <w:color w:val="000000"/>
          <w:sz w:val="21"/>
          <w:lang w:val="en-GB" w:eastAsia="en-GB" w:bidi="en-GB"/>
        </w:rPr>
        <w:t xml:space="preserve">[11]</w:t>
      </w:r>
      <w:r>
        <w:rPr>
          <w:rFonts w:ascii="Times New Roman" w:hAnsi="Times New Roman" w:eastAsia="Times New Roman" w:cs="Times New Roman"/>
          <w:color w:val="000000"/>
          <w:sz w:val="21"/>
          <w:lang w:val="en-GB" w:eastAsia="en-GB" w:bidi="en-GB"/>
        </w:rPr>
        <w:t xml:space="preserve">. Paduraru</w:t>
      </w:r>
      <w:r>
        <w:rPr>
          <w:rFonts w:ascii="Times New Roman" w:hAnsi="Times New Roman" w:eastAsia="Times New Roman" w:cs="Times New Roman"/>
          <w:color w:val="000000"/>
          <w:sz w:val="21"/>
          <w:lang w:val="en-GB" w:eastAsia="en-GB" w:bidi="en-GB"/>
        </w:rPr>
        <w:t xml:space="preserve"> </w:t>
      </w:r>
      <w:r>
        <w:rPr>
          <w:iCs/>
          <w:rFonts w:ascii="Times New Roman" w:hAnsi="Times New Roman" w:eastAsia="Times New Roman" w:cs="Times New Roman"/>
          <w:i/>
          <w:color w:val="000000"/>
          <w:sz w:val="21"/>
          <w:lang w:val="en-GB" w:eastAsia="en-GB" w:bidi="en-GB"/>
        </w:rPr>
        <w:t xml:space="preserve">et al.</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propose Message–Action Traces, executable contracts, replay, and fault injection for agent orchestration </w:t>
      </w:r>
      <w:r>
        <w:rPr>
          <w:rFonts w:ascii="Times New Roman" w:hAnsi="Times New Roman" w:eastAsia="Times New Roman" w:cs="Times New Roman"/>
          <w:color w:val="000000"/>
          <w:sz w:val="21"/>
          <w:lang w:val="en-GB" w:eastAsia="en-GB" w:bidi="en-GB"/>
        </w:rPr>
        <w:t xml:space="preserve">[12]</w:t>
      </w:r>
      <w:r>
        <w:rPr>
          <w:rFonts w:ascii="Times New Roman" w:hAnsi="Times New Roman" w:eastAsia="Times New Roman" w:cs="Times New Roman"/>
          <w:color w:val="000000"/>
          <w:sz w:val="21"/>
          <w:lang w:val="en-GB" w:eastAsia="en-GB" w:bidi="en-GB"/>
        </w:rPr>
        <w:t xml:space="preserve">.</w:t>
      </w:r>
    </w:p>
    <w:p>
      <w:pPr>
        <w:pStyle w:val="BodyText"/>
      </w:pPr>
      <w:r>
        <w:rPr>
          <w:rFonts w:ascii="Times New Roman" w:hAnsi="Times New Roman" w:eastAsia="Times New Roman" w:cs="Times New Roman"/>
          <w:color w:val="000000"/>
          <w:sz w:val="21"/>
          <w:lang w:val="en-GB" w:eastAsia="en-GB" w:bidi="en-GB"/>
        </w:rPr>
        <w:t xml:space="preserve">These approaches establish that provenance, trace contracts, and agent replay are not new in themselves. The present contribution concerns a different verification object: the conjunction of application-level invocation reconstruction, response-to-command consistency, and re-execution of an explicit deterministic transition function. It therefore complements rather than replaces transport replay, workflow provenance, behavioural re-enactment, or orchestration assurance.</w:t>
      </w:r>
    </w:p>
    <w:bookmarkEnd w:id="21"/>
    <w:bookmarkStart w:id="26" w:name="evidence-and-verification-contract"/>
    <w:p>
      <w:pPr>
        <w:pStyle w:val="Heading1"/>
      </w:pPr>
      <w:r>
        <w:rPr>
          <w:rFonts w:ascii="Times New Roman" w:hAnsi="Times New Roman" w:eastAsia="Times New Roman" w:cs="Times New Roman"/>
          <w:b/>
          <w:color w:val="000000"/>
          <w:sz w:val="24"/>
          <w:lang w:val="en-GB" w:eastAsia="en-GB" w:bidi="en-GB"/>
        </w:rPr>
        <w:t xml:space="preserve">Evidence and Verification Contract</w:t>
      </w:r>
    </w:p>
    <w:bookmarkStart w:id="22" w:name="execution-model"/>
    <w:p>
      <w:pPr>
        <w:pStyle w:val="Heading2"/>
      </w:pPr>
      <w:r>
        <w:rPr>
          <w:rFonts w:ascii="Times New Roman" w:hAnsi="Times New Roman" w:eastAsia="Times New Roman" w:cs="Times New Roman"/>
          <w:b/>
          <w:i/>
          <w:color w:val="000000"/>
          <w:sz w:val="21"/>
          <w:lang w:val="en-GB" w:eastAsia="en-GB" w:bidi="en-GB"/>
        </w:rPr>
        <w:t xml:space="preserve">Execution model</w:t>
      </w:r>
    </w:p>
    <w:p>
      <w:pPr>
        <w:pStyle w:val="FirstParagraph"/>
      </w:pPr>
      <w:r>
        <w:rPr>
          <w:rFonts w:ascii="Times New Roman" w:hAnsi="Times New Roman" w:eastAsia="Times New Roman" w:cs="Times New Roman"/>
          <w:color w:val="000000"/>
          <w:sz w:val="21"/>
          <w:lang w:val="en-GB" w:eastAsia="en-GB" w:bidi="en-GB"/>
        </w:rPr>
        <w:t xml:space="preserve">For step</w:t>
      </w:r>
      <w:r>
        <w:rPr>
          <w:rFonts w:ascii="Times New Roman" w:hAnsi="Times New Roman" w:eastAsia="Times New Roman" w:cs="Times New Roman"/>
          <w:color w:val="000000"/>
          <w:sz w:val="21"/>
          <w:lang w:val="en-GB" w:eastAsia="en-GB" w:bidi="en-GB"/>
        </w:rPr>
        <w:t xml:space="preserve"> </w:t>
      </w:r>
      <m:oMath>
        <m:r>
          <m:t>i</m:t>
        </m:r>
      </m:oMath>
      <w:r>
        <w:rPr>
          <w:rFonts w:ascii="Times New Roman" w:hAnsi="Times New Roman" w:eastAsia="Times New Roman" w:cs="Times New Roman"/>
          <w:color w:val="000000"/>
          <w:sz w:val="21"/>
          <w:lang w:val="en-GB" w:eastAsia="en-GB" w:bidi="en-GB"/>
        </w:rPr>
        <w:t xml:space="preserve">, let</w:t>
      </w:r>
      <w:r>
        <w:rPr>
          <w:rFonts w:ascii="Times New Roman" w:hAnsi="Times New Roman" w:eastAsia="Times New Roman" w:cs="Times New Roman"/>
          <w:color w:val="000000"/>
          <w:sz w:val="21"/>
          <w:lang w:val="en-GB" w:eastAsia="en-GB" w:bidi="en-GB"/>
        </w:rPr>
        <w:t xml:space="preserve"> </w:t>
      </w:r>
      <m:oMath>
        <m:sSub>
          <m:e>
            <m:r>
              <m:t>u</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be the human instruction,</w:t>
      </w:r>
      <w:r>
        <w:rPr>
          <w:rFonts w:ascii="Times New Roman" w:hAnsi="Times New Roman" w:eastAsia="Times New Roman" w:cs="Times New Roman"/>
          <w:color w:val="000000"/>
          <w:sz w:val="21"/>
          <w:lang w:val="en-GB" w:eastAsia="en-GB" w:bidi="en-GB"/>
        </w:rPr>
        <w:t xml:space="preserve"> </w:t>
      </w:r>
      <m:oMath>
        <m:sSub>
          <m:e>
            <m:r>
              <m:t>h</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the ordered conversational history,</w:t>
      </w:r>
      <w:r>
        <w:rPr>
          <w:rFonts w:ascii="Times New Roman" w:hAnsi="Times New Roman" w:eastAsia="Times New Roman" w:cs="Times New Roman"/>
          <w:color w:val="000000"/>
          <w:sz w:val="21"/>
          <w:lang w:val="en-GB" w:eastAsia="en-GB" w:bidi="en-GB"/>
        </w:rPr>
        <w:t xml:space="preserve"> </w:t>
      </w:r>
      <m:oMath>
        <m:sSub>
          <m:e>
            <m:r>
              <m:t>s</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the pre-action state,</w:t>
      </w:r>
      <w:r>
        <w:rPr>
          <w:rFonts w:ascii="Times New Roman" w:hAnsi="Times New Roman" w:eastAsia="Times New Roman" w:cs="Times New Roman"/>
          <w:color w:val="000000"/>
          <w:sz w:val="21"/>
          <w:lang w:val="en-GB" w:eastAsia="en-GB" w:bidi="en-GB"/>
        </w:rPr>
        <w:t xml:space="preserve"> </w:t>
      </w:r>
      <m:oMath>
        <m:sSub>
          <m:e>
            <m:r>
              <m:t>θ</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the declared model configuration, and</w:t>
      </w:r>
      <w:r>
        <w:rPr>
          <w:rFonts w:ascii="Times New Roman" w:hAnsi="Times New Roman" w:eastAsia="Times New Roman" w:cs="Times New Roman"/>
          <w:color w:val="000000"/>
          <w:sz w:val="21"/>
          <w:lang w:val="en-GB" w:eastAsia="en-GB" w:bidi="en-GB"/>
        </w:rPr>
        <w:t xml:space="preserve"> </w:t>
      </w:r>
      <m:oMath>
        <m:sSub>
          <m:e>
            <m:r>
              <m:t>ρ</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the frozen domain rules. The application constructs an adapter-boundary invocation record</w:t>
      </w:r>
    </w:p>
    <w:p>
      <w:pPr>
        <w:pStyle w:val="BodyText"/>
      </w:pPr>
      <m:oMathPara>
        <m:oMathParaPr>
          <m:jc m:val="center"/>
        </m:oMathParaPr>
        <m:oMath>
          <m:sSub>
            <m:e>
              <m:r>
                <m:t>a</m:t>
              </m:r>
            </m:e>
            <m:sub>
              <m:r>
                <m:t>i</m:t>
              </m:r>
            </m:sub>
          </m:sSub>
          <m:r>
            <m:rPr>
              <m:sty m:val="p"/>
            </m:rPr>
            <m:t>=</m:t>
          </m:r>
          <m:r>
            <m:t>A</m:t>
          </m:r>
          <m:d>
            <m:dPr>
              <m:begChr m:val="("/>
              <m:endChr m:val=")"/>
              <m:sepChr m:val=""/>
              <m:grow/>
            </m:dPr>
            <m:e>
              <m:sSub>
                <m:e>
                  <m:r>
                    <m:t>u</m:t>
                  </m:r>
                </m:e>
                <m:sub>
                  <m:r>
                    <m:t>i</m:t>
                  </m:r>
                </m:sub>
              </m:sSub>
              <m:r>
                <m:rPr>
                  <m:sty m:val="p"/>
                </m:rPr>
                <m:t>,</m:t>
              </m:r>
              <m:sSub>
                <m:e>
                  <m:r>
                    <m:t>h</m:t>
                  </m:r>
                </m:e>
                <m:sub>
                  <m:r>
                    <m:t>i</m:t>
                  </m:r>
                </m:sub>
              </m:sSub>
              <m:r>
                <m:rPr>
                  <m:sty m:val="p"/>
                </m:rPr>
                <m:t>,</m:t>
              </m:r>
              <m:sSub>
                <m:e>
                  <m:r>
                    <m:t>s</m:t>
                  </m:r>
                </m:e>
                <m:sub>
                  <m:r>
                    <m:t>i</m:t>
                  </m:r>
                </m:sub>
              </m:sSub>
              <m:r>
                <m:rPr>
                  <m:sty m:val="p"/>
                </m:rPr>
                <m:t>,</m:t>
              </m:r>
              <m:sSub>
                <m:e>
                  <m:r>
                    <m:t>θ</m:t>
                  </m:r>
                </m:e>
                <m:sub>
                  <m:r>
                    <m:t>i</m:t>
                  </m:r>
                </m:sub>
              </m:sSub>
            </m:e>
          </m:d>
          <m:r>
            <m:rPr>
              <m:sty m:val="p"/>
            </m:rPr>
            <m:t>,</m:t>
          </m:r>
        </m:oMath>
      </m:oMathPara>
    </w:p>
    <w:p>
      <w:pPr>
        <w:pStyle w:val="FirstParagraph"/>
      </w:pPr>
      <w:r>
        <w:rPr>
          <w:rFonts w:ascii="Times New Roman" w:hAnsi="Times New Roman" w:eastAsia="Times New Roman" w:cs="Times New Roman"/>
          <w:color w:val="000000"/>
          <w:sz w:val="21"/>
          <w:lang w:val="en-GB" w:eastAsia="en-GB" w:bidi="en-GB"/>
        </w:rPr>
        <w:t xml:space="preserve">then obtains response text</w:t>
      </w:r>
      <w:r>
        <w:rPr>
          <w:rFonts w:ascii="Times New Roman" w:hAnsi="Times New Roman" w:eastAsia="Times New Roman" w:cs="Times New Roman"/>
          <w:color w:val="000000"/>
          <w:sz w:val="21"/>
          <w:lang w:val="en-GB" w:eastAsia="en-GB" w:bidi="en-GB"/>
        </w:rPr>
        <w:t xml:space="preserve"> </w:t>
      </w:r>
      <m:oMath>
        <m:sSub>
          <m:e>
            <m:r>
              <m:t>y</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from model provider</w:t>
      </w:r>
      <w:r>
        <w:rPr>
          <w:rFonts w:ascii="Times New Roman" w:hAnsi="Times New Roman" w:eastAsia="Times New Roman" w:cs="Times New Roman"/>
          <w:color w:val="000000"/>
          <w:sz w:val="21"/>
          <w:lang w:val="en-GB" w:eastAsia="en-GB" w:bidi="en-GB"/>
        </w:rPr>
        <w:t xml:space="preserve"> </w:t>
      </w:r>
      <m:oMath>
        <m:r>
          <m:t>M</m:t>
        </m:r>
      </m:oMath>
      <w:r>
        <w:rPr>
          <w:rFonts w:ascii="Times New Roman" w:hAnsi="Times New Roman" w:eastAsia="Times New Roman" w:cs="Times New Roman"/>
          <w:color w:val="000000"/>
          <w:sz w:val="21"/>
          <w:lang w:val="en-GB" w:eastAsia="en-GB" w:bidi="en-GB"/>
        </w:rPr>
        <w:t xml:space="preserve">. A parser</w:t>
      </w:r>
      <w:r>
        <w:rPr>
          <w:rFonts w:ascii="Times New Roman" w:hAnsi="Times New Roman" w:eastAsia="Times New Roman" w:cs="Times New Roman"/>
          <w:color w:val="000000"/>
          <w:sz w:val="21"/>
          <w:lang w:val="en-GB" w:eastAsia="en-GB" w:bidi="en-GB"/>
        </w:rPr>
        <w:t xml:space="preserve"> </w:t>
      </w:r>
      <m:oMath>
        <m:r>
          <m:t>P</m:t>
        </m:r>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grounds the response into command</w:t>
      </w:r>
      <w:r>
        <w:rPr>
          <w:rFonts w:ascii="Times New Roman" w:hAnsi="Times New Roman" w:eastAsia="Times New Roman" w:cs="Times New Roman"/>
          <w:color w:val="000000"/>
          <w:sz w:val="21"/>
          <w:lang w:val="en-GB" w:eastAsia="en-GB" w:bidi="en-GB"/>
        </w:rPr>
        <w:t xml:space="preserve"> </w:t>
      </w:r>
      <m:oMath>
        <m:sSub>
          <m:e>
            <m:r>
              <m:t>c</m:t>
            </m:r>
          </m:e>
          <m:sub>
            <m:r>
              <m:t>i</m:t>
            </m:r>
          </m:sub>
        </m:sSub>
      </m:oMath>
      <w:r>
        <w:rPr>
          <w:rFonts w:ascii="Times New Roman" w:hAnsi="Times New Roman" w:eastAsia="Times New Roman" w:cs="Times New Roman"/>
          <w:color w:val="000000"/>
          <w:sz w:val="21"/>
          <w:lang w:val="en-GB" w:eastAsia="en-GB" w:bidi="en-GB"/>
        </w:rPr>
        <w:t xml:space="preserve">, and a transition function</w:t>
      </w:r>
      <w:r>
        <w:rPr>
          <w:rFonts w:ascii="Times New Roman" w:hAnsi="Times New Roman" w:eastAsia="Times New Roman" w:cs="Times New Roman"/>
          <w:color w:val="000000"/>
          <w:sz w:val="21"/>
          <w:lang w:val="en-GB" w:eastAsia="en-GB" w:bidi="en-GB"/>
        </w:rPr>
        <w:t xml:space="preserve"> </w:t>
      </w:r>
      <m:oMath>
        <m:r>
          <m:t>δ</m:t>
        </m:r>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produces the next state and ordered semantic events:</w:t>
      </w:r>
    </w:p>
    <w:p>
      <w:pPr>
        <w:pStyle w:val="BodyText"/>
      </w:pPr>
      <m:oMathPara>
        <m:oMathParaPr>
          <m:jc m:val="center"/>
        </m:oMathParaPr>
        <m:oMath>
          <m:sSub>
            <m:e>
              <m:r>
                <m:t>c</m:t>
              </m:r>
            </m:e>
            <m:sub>
              <m:r>
                <m:t>i</m:t>
              </m:r>
            </m:sub>
          </m:sSub>
          <m:r>
            <m:rPr>
              <m:sty m:val="p"/>
            </m:rPr>
            <m:t>=</m:t>
          </m:r>
          <m:r>
            <m:t>P</m:t>
          </m:r>
          <m:d>
            <m:dPr>
              <m:begChr m:val="("/>
              <m:endChr m:val=")"/>
              <m:sepChr m:val=""/>
              <m:grow/>
            </m:dPr>
            <m:e>
              <m:sSub>
                <m:e>
                  <m:r>
                    <m:t>y</m:t>
                  </m:r>
                </m:e>
                <m:sub>
                  <m:r>
                    <m:t>i</m:t>
                  </m:r>
                </m:sub>
              </m:sSub>
            </m:e>
          </m:d>
          <m:r>
            <m:rPr>
              <m:sty m:val="p"/>
            </m:rPr>
            <m:t>,</m:t>
          </m:r>
          <m:r>
            <m:t>  </m:t>
          </m:r>
          <m:d>
            <m:dPr>
              <m:begChr m:val="("/>
              <m:endChr m:val=")"/>
              <m:sepChr m:val=""/>
              <m:grow/>
            </m:dPr>
            <m:e>
              <m:sSub>
                <m:e>
                  <m:r>
                    <m:t>s</m:t>
                  </m:r>
                </m:e>
                <m:sub>
                  <m:r>
                    <m:t>i</m:t>
                  </m:r>
                  <m:r>
                    <m:rPr>
                      <m:sty m:val="p"/>
                    </m:rPr>
                    <m:t>+</m:t>
                  </m:r>
                  <m:r>
                    <m:t>1</m:t>
                  </m:r>
                </m:sub>
              </m:sSub>
              <m:r>
                <m:rPr>
                  <m:sty m:val="p"/>
                </m:rPr>
                <m:t>,</m:t>
              </m:r>
              <m:sSub>
                <m:e>
                  <m:r>
                    <m:t>e</m:t>
                  </m:r>
                </m:e>
                <m:sub>
                  <m:r>
                    <m:t>i</m:t>
                  </m:r>
                </m:sub>
              </m:sSub>
            </m:e>
          </m:d>
          <m:r>
            <m:rPr>
              <m:sty m:val="p"/>
            </m:rPr>
            <m:t>=</m:t>
          </m:r>
          <m:r>
            <m:t>δ</m:t>
          </m:r>
          <m:d>
            <m:dPr>
              <m:begChr m:val="("/>
              <m:endChr m:val=")"/>
              <m:sepChr m:val=""/>
              <m:grow/>
            </m:dPr>
            <m:e>
              <m:sSub>
                <m:e>
                  <m:r>
                    <m:t>s</m:t>
                  </m:r>
                </m:e>
                <m:sub>
                  <m:r>
                    <m:t>i</m:t>
                  </m:r>
                </m:sub>
              </m:sSub>
              <m:r>
                <m:rPr>
                  <m:sty m:val="p"/>
                </m:rPr>
                <m:t>,</m:t>
              </m:r>
              <m:sSub>
                <m:e>
                  <m:r>
                    <m:t>c</m:t>
                  </m:r>
                </m:e>
                <m:sub>
                  <m:r>
                    <m:t>i</m:t>
                  </m:r>
                </m:sub>
              </m:sSub>
              <m:r>
                <m:rPr>
                  <m:sty m:val="p"/>
                </m:rPr>
                <m:t>;</m:t>
              </m:r>
              <m:sSub>
                <m:e>
                  <m:r>
                    <m:t>ρ</m:t>
                  </m:r>
                </m:e>
                <m:sub>
                  <m:r>
                    <m:t>i</m:t>
                  </m:r>
                </m:sub>
              </m:sSub>
            </m:e>
          </m:d>
          <m:r>
            <m:rPr>
              <m:sty m:val="p"/>
            </m:rPr>
            <m:t>.</m:t>
          </m:r>
        </m:oMath>
      </m:oMathPara>
    </w:p>
    <w:p>
      <w:pPr>
        <w:pStyle w:val="FirstParagraph"/>
      </w:pPr>
      <w:r>
        <w:rPr>
          <w:rFonts w:ascii="Times New Roman" w:hAnsi="Times New Roman" w:eastAsia="Times New Roman" w:cs="Times New Roman"/>
          <w:color w:val="000000"/>
          <w:sz w:val="21"/>
          <w:lang w:val="en-GB" w:eastAsia="en-GB" w:bidi="en-GB"/>
        </w:rPr>
        <w:t xml:space="preserve">The trace unit is</w:t>
      </w:r>
    </w:p>
    <w:p>
      <w:pPr>
        <w:pStyle w:val="BodyText"/>
      </w:pPr>
      <m:oMathPara>
        <m:oMathParaPr>
          <m:jc m:val="center"/>
        </m:oMathParaPr>
        <m:oMath>
          <m:sSub>
            <m:e>
              <m:r>
                <m:t>T</m:t>
              </m:r>
            </m:e>
            <m:sub>
              <m:r>
                <m:t>i</m:t>
              </m:r>
            </m:sub>
          </m:sSub>
          <m:r>
            <m:rPr>
              <m:sty m:val="p"/>
            </m:rPr>
            <m:t>=</m:t>
          </m:r>
          <m:r>
            <m:rPr>
              <m:sty m:val="p"/>
            </m:rPr>
            <m:t>⟨</m:t>
          </m:r>
          <m:sSub>
            <m:e>
              <m:r>
                <m:t>u</m:t>
              </m:r>
            </m:e>
            <m:sub>
              <m:r>
                <m:t>i</m:t>
              </m:r>
            </m:sub>
          </m:sSub>
          <m:r>
            <m:rPr>
              <m:sty m:val="p"/>
            </m:rPr>
            <m:t>,</m:t>
          </m:r>
          <m:sSub>
            <m:e>
              <m:r>
                <m:t>h</m:t>
              </m:r>
            </m:e>
            <m:sub>
              <m:r>
                <m:t>i</m:t>
              </m:r>
            </m:sub>
          </m:sSub>
          <m:r>
            <m:rPr>
              <m:sty m:val="p"/>
            </m:rPr>
            <m:t>,</m:t>
          </m:r>
          <m:sSub>
            <m:e>
              <m:r>
                <m:t>s</m:t>
              </m:r>
            </m:e>
            <m:sub>
              <m:r>
                <m:t>i</m:t>
              </m:r>
            </m:sub>
          </m:sSub>
          <m:r>
            <m:rPr>
              <m:sty m:val="p"/>
            </m:rPr>
            <m:t>,</m:t>
          </m:r>
          <m:sSub>
            <m:e>
              <m:r>
                <m:t>a</m:t>
              </m:r>
            </m:e>
            <m:sub>
              <m:r>
                <m:t>i</m:t>
              </m:r>
            </m:sub>
          </m:sSub>
          <m:r>
            <m:rPr>
              <m:sty m:val="p"/>
            </m:rPr>
            <m:t>,</m:t>
          </m:r>
          <m:sSub>
            <m:e>
              <m:r>
                <m:t>θ</m:t>
              </m:r>
            </m:e>
            <m:sub>
              <m:r>
                <m:t>i</m:t>
              </m:r>
            </m:sub>
          </m:sSub>
          <m:r>
            <m:rPr>
              <m:sty m:val="p"/>
            </m:rPr>
            <m:t>,</m:t>
          </m:r>
          <m:sSub>
            <m:e>
              <m:r>
                <m:t>y</m:t>
              </m:r>
            </m:e>
            <m:sub>
              <m:r>
                <m:t>i</m:t>
              </m:r>
            </m:sub>
          </m:sSub>
          <m:r>
            <m:rPr>
              <m:sty m:val="p"/>
            </m:rPr>
            <m:t>,</m:t>
          </m:r>
          <m:sSub>
            <m:e>
              <m:r>
                <m:t>c</m:t>
              </m:r>
            </m:e>
            <m:sub>
              <m:r>
                <m:t>i</m:t>
              </m:r>
            </m:sub>
          </m:sSub>
          <m:r>
            <m:rPr>
              <m:sty m:val="p"/>
            </m:rPr>
            <m:t>,</m:t>
          </m:r>
          <m:sSub>
            <m:e>
              <m:r>
                <m:t>ρ</m:t>
              </m:r>
            </m:e>
            <m:sub>
              <m:r>
                <m:t>i</m:t>
              </m:r>
            </m:sub>
          </m:sSub>
          <m:r>
            <m:rPr>
              <m:sty m:val="p"/>
            </m:rPr>
            <m:t>,</m:t>
          </m:r>
          <m:sSub>
            <m:e>
              <m:r>
                <m:t>e</m:t>
              </m:r>
            </m:e>
            <m:sub>
              <m:r>
                <m:t>i</m:t>
              </m:r>
            </m:sub>
          </m:sSub>
          <m:r>
            <m:rPr>
              <m:sty m:val="p"/>
            </m:rPr>
            <m:t>,</m:t>
          </m:r>
          <m:sSub>
            <m:e>
              <m:r>
                <m:t>s</m:t>
              </m:r>
            </m:e>
            <m:sub>
              <m:r>
                <m:t>i</m:t>
              </m:r>
              <m:r>
                <m:rPr>
                  <m:sty m:val="p"/>
                </m:rPr>
                <m:t>+</m:t>
              </m:r>
              <m:r>
                <m:t>1</m:t>
              </m:r>
            </m:sub>
          </m:sSub>
          <m:r>
            <m:rPr>
              <m:sty m:val="p"/>
            </m:rPr>
            <m:t>⟩</m:t>
          </m:r>
          <m:r>
            <m:rPr>
              <m:sty m:val="p"/>
            </m:rPr>
            <m:t>.</m:t>
          </m:r>
        </m:oMath>
      </m:oMathPara>
    </w:p>
    <w:p>
      <w:pPr>
        <w:pStyle w:val="FirstParagraph"/>
      </w:pPr>
      <w:r>
        <w:rPr>
          <w:rFonts w:ascii="Times New Roman" w:hAnsi="Times New Roman" w:eastAsia="Times New Roman" w:cs="Times New Roman"/>
          <w:color w:val="000000"/>
          <w:sz w:val="21"/>
          <w:lang w:val="en-GB" w:eastAsia="en-GB" w:bidi="en-GB"/>
        </w:rPr>
        <w:t xml:space="preserve">Here</w:t>
      </w:r>
      <w:r>
        <w:rPr>
          <w:rFonts w:ascii="Times New Roman" w:hAnsi="Times New Roman" w:eastAsia="Times New Roman" w:cs="Times New Roman"/>
          <w:color w:val="000000"/>
          <w:sz w:val="21"/>
          <w:lang w:val="en-GB" w:eastAsia="en-GB" w:bidi="en-GB"/>
        </w:rPr>
        <w:t xml:space="preserve"> </w:t>
      </w:r>
      <m:oMath>
        <m:sSub>
          <m:e>
            <m:r>
              <m:t>a</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is the record materialised immediately before the provider-adapter call. Its model, ordered messages, options, and stream fields correspond to call arguments; provider and endpoint are application declarations. It is not the provider library’s internal representation or the HTTP request emitted below that boundary.</w:t>
      </w:r>
    </w:p>
    <w:bookmarkEnd w:id="22"/>
    <w:bookmarkStart w:id="24" w:name="verification-predicates"/>
    <w:p>
      <w:pPr>
        <w:pStyle w:val="Heading2"/>
      </w:pPr>
      <w:r>
        <w:rPr>
          <w:rFonts w:ascii="Times New Roman" w:hAnsi="Times New Roman" w:eastAsia="Times New Roman" w:cs="Times New Roman"/>
          <w:b/>
          <w:i/>
          <w:color w:val="000000"/>
          <w:sz w:val="21"/>
          <w:lang w:val="en-GB" w:eastAsia="en-GB" w:bidi="en-GB"/>
        </w:rPr>
        <w:t xml:space="preserve">Verification predicates</w:t>
      </w:r>
    </w:p>
    <w:p>
      <w:pPr>
        <w:pStyle w:val="FirstParagraph"/>
      </w:pPr>
      <w:r>
        <w:rPr>
          <w:rFonts w:ascii="Times New Roman" w:hAnsi="Times New Roman" w:eastAsia="Times New Roman" w:cs="Times New Roman"/>
          <w:color w:val="000000"/>
          <w:sz w:val="21"/>
          <w:lang w:val="en-GB" w:eastAsia="en-GB" w:bidi="en-GB"/>
        </w:rPr>
        <w:t xml:space="preserve">The contract defines four predicates rather than a single undifferentiated notion of reproducibility.</w:t>
      </w:r>
    </w:p>
    <w:p>
      <w:pPr>
        <w:pStyle w:val="BodyText"/>
      </w:pPr>
      <w:r>
        <w:rPr>
          <w:bCs/>
          <w:rFonts w:ascii="Times New Roman" w:hAnsi="Times New Roman" w:eastAsia="Times New Roman" w:cs="Times New Roman"/>
          <w:b/>
          <w:color w:val="000000"/>
          <w:sz w:val="21"/>
          <w:lang w:val="en-GB" w:eastAsia="en-GB" w:bidi="en-GB"/>
        </w:rPr>
        <w:t xml:space="preserve">V1—Trace validity.</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The schema, identifiers, sequence, state continuity, final states, content commitments, transition commitments, and ordered play chain are internally consistent.</w:t>
      </w:r>
    </w:p>
    <w:p>
      <w:pPr>
        <w:pStyle w:val="BodyText"/>
      </w:pPr>
      <w:r>
        <w:rPr>
          <w:bCs/>
          <w:rFonts w:ascii="Times New Roman" w:hAnsi="Times New Roman" w:eastAsia="Times New Roman" w:cs="Times New Roman"/>
          <w:b/>
          <w:color w:val="000000"/>
          <w:sz w:val="21"/>
          <w:lang w:val="en-GB" w:eastAsia="en-GB" w:bidi="en-GB"/>
        </w:rPr>
        <w:t xml:space="preserve">V2—Invocation evidence.</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In full retention, the verifier independently reconstructs the current user message and conversation history from separately recorded prompt, state, system instructions, and context policy, then compares the result with</w:t>
      </w:r>
      <w:r>
        <w:rPr>
          <w:rFonts w:ascii="Times New Roman" w:hAnsi="Times New Roman" w:eastAsia="Times New Roman" w:cs="Times New Roman"/>
          <w:color w:val="000000"/>
          <w:sz w:val="21"/>
          <w:lang w:val="en-GB" w:eastAsia="en-GB" w:bidi="en-GB"/>
        </w:rPr>
        <w:t xml:space="preserve"> </w:t>
      </w:r>
      <m:oMath>
        <m:sSub>
          <m:e>
            <m:r>
              <m:t>a</m:t>
            </m:r>
          </m:e>
          <m:sub>
            <m:r>
              <m:t>i</m:t>
            </m:r>
          </m:sub>
        </m:sSub>
      </m:oMath>
      <w:r>
        <w:rPr>
          <w:rFonts w:ascii="Times New Roman" w:hAnsi="Times New Roman" w:eastAsia="Times New Roman" w:cs="Times New Roman"/>
          <w:color w:val="000000"/>
          <w:sz w:val="21"/>
          <w:lang w:val="en-GB" w:eastAsia="en-GB" w:bidi="en-GB"/>
        </w:rPr>
        <w:t xml:space="preserve">. Provider, endpoint, and requested model are checked against session provenance. Reduced-retention profiles provide weaker evidence, as Table </w:t>
      </w:r>
      <w:hyperlink w:anchor="tab:profiles">
        <w:r>
          <w:rPr>
            <w:rStyle w:val="Hyperlink"/>
          </w:rPr>
          <w:t xml:space="preserve">1</w:t>
        </w:r>
      </w:hyperlink>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specifies.</w:t>
      </w:r>
    </w:p>
    <w:p>
      <w:pPr>
        <w:pStyle w:val="BodyText"/>
      </w:pPr>
      <w:r>
        <w:rPr>
          <w:bCs/>
          <w:rFonts w:ascii="Times New Roman" w:hAnsi="Times New Roman" w:eastAsia="Times New Roman" w:cs="Times New Roman"/>
          <w:b/>
          <w:color w:val="000000"/>
          <w:sz w:val="21"/>
          <w:lang w:val="en-GB" w:eastAsia="en-GB" w:bidi="en-GB"/>
        </w:rPr>
        <w:t xml:space="preserve">V3—Grounding consistency.</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When</w:t>
      </w:r>
      <w:r>
        <w:rPr>
          <w:rFonts w:ascii="Times New Roman" w:hAnsi="Times New Roman" w:eastAsia="Times New Roman" w:cs="Times New Roman"/>
          <w:color w:val="000000"/>
          <w:sz w:val="21"/>
          <w:lang w:val="en-GB" w:eastAsia="en-GB" w:bidi="en-GB"/>
        </w:rPr>
        <w:t xml:space="preserve"> </w:t>
      </w:r>
      <m:oMath>
        <m:sSub>
          <m:e>
            <m:r>
              <m:t>y</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is retained, re-applying</w:t>
      </w:r>
      <w:r>
        <w:rPr>
          <w:rFonts w:ascii="Times New Roman" w:hAnsi="Times New Roman" w:eastAsia="Times New Roman" w:cs="Times New Roman"/>
          <w:color w:val="000000"/>
          <w:sz w:val="21"/>
          <w:lang w:val="en-GB" w:eastAsia="en-GB" w:bidi="en-GB"/>
        </w:rPr>
        <w:t xml:space="preserve"> </w:t>
      </w:r>
      <m:oMath>
        <m:r>
          <m:t>P</m:t>
        </m:r>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must yield the recorded</w:t>
      </w:r>
      <w:r>
        <w:rPr>
          <w:rFonts w:ascii="Times New Roman" w:hAnsi="Times New Roman" w:eastAsia="Times New Roman" w:cs="Times New Roman"/>
          <w:color w:val="000000"/>
          <w:sz w:val="21"/>
          <w:lang w:val="en-GB" w:eastAsia="en-GB" w:bidi="en-GB"/>
        </w:rPr>
        <w:t xml:space="preserve"> </w:t>
      </w:r>
      <m:oMath>
        <m:sSub>
          <m:e>
            <m:r>
              <m:t>c</m:t>
            </m:r>
          </m:e>
          <m:sub>
            <m:r>
              <m:t>i</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and validity status. Provider failures are represented separately and resolve operatively to</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ERR</w:t>
      </w:r>
      <w:r>
        <w:rPr>
          <w:rFonts w:ascii="Times New Roman" w:hAnsi="Times New Roman" w:eastAsia="Times New Roman" w:cs="Times New Roman"/>
          <w:color w:val="000000"/>
          <w:sz w:val="21"/>
          <w:lang w:val="en-GB" w:eastAsia="en-GB" w:bidi="en-GB"/>
        </w:rPr>
        <w:t xml:space="preserve">; they are not counted as model-response groundings.</w:t>
      </w:r>
    </w:p>
    <w:p>
      <w:pPr>
        <w:pStyle w:val="BodyText"/>
      </w:pPr>
      <w:r>
        <w:rPr>
          <w:bCs/>
          <w:rFonts w:ascii="Times New Roman" w:hAnsi="Times New Roman" w:eastAsia="Times New Roman" w:cs="Times New Roman"/>
          <w:b/>
          <w:color w:val="000000"/>
          <w:sz w:val="21"/>
          <w:lang w:val="en-GB" w:eastAsia="en-GB" w:bidi="en-GB"/>
        </w:rPr>
        <w:t xml:space="preserve">V4—Operative replay.</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Re-evaluating</w:t>
      </w:r>
      <w:r>
        <w:rPr>
          <w:rFonts w:ascii="Times New Roman" w:hAnsi="Times New Roman" w:eastAsia="Times New Roman" w:cs="Times New Roman"/>
          <w:color w:val="000000"/>
          <w:sz w:val="21"/>
          <w:lang w:val="en-GB" w:eastAsia="en-GB" w:bidi="en-GB"/>
        </w:rPr>
        <w:t xml:space="preserve"> </w:t>
      </w:r>
      <m:oMath>
        <m:r>
          <m:t>δ</m:t>
        </m:r>
        <m:d>
          <m:dPr>
            <m:begChr m:val="("/>
            <m:endChr m:val=")"/>
            <m:sepChr m:val=""/>
            <m:grow/>
          </m:dPr>
          <m:e>
            <m:sSub>
              <m:e>
                <m:r>
                  <m:t>s</m:t>
                </m:r>
              </m:e>
              <m:sub>
                <m:r>
                  <m:t>i</m:t>
                </m:r>
              </m:sub>
            </m:sSub>
            <m:r>
              <m:rPr>
                <m:sty m:val="p"/>
              </m:rPr>
              <m:t>,</m:t>
            </m:r>
            <m:sSub>
              <m:e>
                <m:r>
                  <m:t>c</m:t>
                </m:r>
              </m:e>
              <m:sub>
                <m:r>
                  <m:t>i</m:t>
                </m:r>
              </m:sub>
            </m:sSub>
            <m:r>
              <m:rPr>
                <m:sty m:val="p"/>
              </m:rPr>
              <m:t>;</m:t>
            </m:r>
            <m:sSub>
              <m:e>
                <m:r>
                  <m:t>ρ</m:t>
                </m:r>
              </m:e>
              <m:sub>
                <m:r>
                  <m:t>i</m:t>
                </m:r>
              </m:sub>
            </m:sSub>
          </m:e>
        </m:d>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must reproduce both</w:t>
      </w:r>
      <w:r>
        <w:rPr>
          <w:rFonts w:ascii="Times New Roman" w:hAnsi="Times New Roman" w:eastAsia="Times New Roman" w:cs="Times New Roman"/>
          <w:color w:val="000000"/>
          <w:sz w:val="21"/>
          <w:lang w:val="en-GB" w:eastAsia="en-GB" w:bidi="en-GB"/>
        </w:rPr>
        <w:t xml:space="preserve"> </w:t>
      </w:r>
      <m:oMath>
        <m:sSub>
          <m:e>
            <m:r>
              <m:t>s</m:t>
            </m:r>
          </m:e>
          <m:sub>
            <m:r>
              <m:t>i</m:t>
            </m:r>
            <m:r>
              <m:rPr>
                <m:sty m:val="p"/>
              </m:rPr>
              <m:t>+</m:t>
            </m:r>
            <m:r>
              <m:t>1</m:t>
            </m:r>
          </m:sub>
        </m:sSub>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and</w:t>
      </w:r>
      <w:r>
        <w:rPr>
          <w:rFonts w:ascii="Times New Roman" w:hAnsi="Times New Roman" w:eastAsia="Times New Roman" w:cs="Times New Roman"/>
          <w:color w:val="000000"/>
          <w:sz w:val="21"/>
          <w:lang w:val="en-GB" w:eastAsia="en-GB" w:bidi="en-GB"/>
        </w:rPr>
        <w:t xml:space="preserve"> </w:t>
      </w:r>
      <m:oMath>
        <m:sSub>
          <m:e>
            <m:r>
              <m:t>e</m:t>
            </m:r>
          </m:e>
          <m:sub>
            <m:r>
              <m:t>i</m:t>
            </m:r>
          </m:sub>
        </m:sSub>
      </m:oMath>
      <w:r>
        <w:rPr>
          <w:rFonts w:ascii="Times New Roman" w:hAnsi="Times New Roman" w:eastAsia="Times New Roman" w:cs="Times New Roman"/>
          <w:color w:val="000000"/>
          <w:sz w:val="21"/>
          <w:lang w:val="en-GB" w:eastAsia="en-GB" w:bidi="en-GB"/>
        </w:rPr>
        <w:t xml:space="preserve">. BatLLM compares discrete state exactly and position and rotation with absolute tolerance</w:t>
      </w:r>
      <w:r>
        <w:rPr>
          <w:rFonts w:ascii="Times New Roman" w:hAnsi="Times New Roman" w:eastAsia="Times New Roman" w:cs="Times New Roman"/>
          <w:color w:val="000000"/>
          <w:sz w:val="21"/>
          <w:lang w:val="en-GB" w:eastAsia="en-GB" w:bidi="en-GB"/>
        </w:rPr>
        <w:t xml:space="preserve"> </w:t>
      </w:r>
      <m:oMath>
        <m:sSup>
          <m:e>
            <m:r>
              <m:t>10</m:t>
            </m:r>
          </m:e>
          <m:sup>
            <m:r>
              <m:rPr>
                <m:sty m:val="p"/>
              </m:rPr>
              <m:t>−</m:t>
            </m:r>
            <m:r>
              <m:t>6</m:t>
            </m:r>
          </m:sup>
        </m:sSup>
      </m:oMath>
      <w:r>
        <w:rPr>
          <w:rFonts w:ascii="Times New Roman" w:hAnsi="Times New Roman" w:eastAsia="Times New Roman" w:cs="Times New Roman"/>
          <w:color w:val="000000"/>
          <w:sz w:val="21"/>
          <w:lang w:val="en-GB" w:eastAsia="en-GB" w:bidi="en-GB"/>
        </w:rPr>
        <w:t xml:space="preserve">.</w:t>
      </w:r>
    </w:p>
    <w:bookmarkStart w:id="23" w:name="tab:profiles"/>
    <w:p>
      <w:pPr>
        <w:pStyle w:val="TableCaption"/>
      </w:pPr>
      <w:r>
        <w:rPr>
          <w:rFonts w:ascii="Times New Roman" w:hAnsi="Times New Roman" w:eastAsia="Times New Roman" w:cs="Times New Roman"/>
          <w:b/>
          <w:color w:val="000000"/>
          <w:sz w:val="19"/>
          <w:lang w:val="en-GB" w:eastAsia="en-GB" w:bidi="en-GB"/>
        </w:rPr>
        <w:t xml:space="preserve">Table 1. </w:t>
      </w:r>
      <w:r>
        <w:rPr>
          <w:rFonts w:ascii="Times New Roman" w:hAnsi="Times New Roman" w:eastAsia="Times New Roman" w:cs="Times New Roman"/>
          <w:i/>
          <w:color w:val="000000"/>
          <w:sz w:val="19"/>
          <w:lang w:val="en-GB" w:eastAsia="en-GB" w:bidi="en-GB"/>
        </w:rPr>
        <w:t>Evidence available by text-retention profile. “Commit.” denotes a SHA-256 commitment without retained text.</w:t>
      </w:r>
    </w:p>
    <w:tbl>
      <w:tblPr>
        <w:tblStyle w:val="Table"/>
        <w:tblW w:type="auto" w:w="0"/>
        <w:jc w:val="center"/>
        <w:tblLayout w:type="autofit"/>
        <w:tblLook w:firstRow="1" w:lastRow="0" w:firstColumn="0" w:lastColumn="0" w:noHBand="0" w:noVBand="0" w:val="0020"/>
        <w:tblCaption w:val="Evidence available by text-retention profile. “Commit.” denotes a SHA-256 commitment without retained text."/>
      </w:tblPr>
      <w:tblGrid>
        <w:gridCol w:w="1980"/>
        <w:gridCol w:w="1980"/>
        <w:gridCol w:w="1980"/>
        <w:gridCol w:w="1980"/>
      </w:tblGrid>
      <w:tr>
        <w:trPr>
          <w:tblHeader w:val="true"/>
          <w:tblHeader w:val="true"/>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color w:val="000000"/>
                <w:sz w:val="18"/>
                <w:lang w:val="en-GB" w:eastAsia="en-GB" w:bidi="en-GB"/>
              </w:rPr>
              <w:t xml:space="preserve">Predicate</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color w:val="000000"/>
                <w:sz w:val="18"/>
                <w:lang w:val="en-GB" w:eastAsia="en-GB" w:bidi="en-GB"/>
              </w:rPr>
              <w:t xml:space="preserve">Full</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color w:val="000000"/>
                <w:sz w:val="18"/>
                <w:lang w:val="en-GB" w:eastAsia="en-GB" w:bidi="en-GB"/>
              </w:rPr>
              <w:t xml:space="preserve">Redacted</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color w:val="000000"/>
                <w:sz w:val="18"/>
                <w:lang w:val="en-GB" w:eastAsia="en-GB" w:bidi="en-GB"/>
              </w:rPr>
              <w:t xml:space="preserve">Hash-only</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V1 trace</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yes</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yes</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yes</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V2 invocation</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reconstruct</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struct.+hash</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hash</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V3 grounding</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verify</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no</w:t>
            </w:r>
          </w:p>
        </w:tc>
        <w:tc>
          <w:tcPr>
            <w:vAlign w:val="center"/>
            <w:tcMar>
              <w:top w:w="70" w:type="dxa"/>
              <w:start w:w="80" w:type="dxa"/>
              <w:bottom w:w="70" w:type="dxa"/>
              <w:end w:w="80" w:type="dxa"/>
            </w:tcMar>
          </w:tcPr>
          <w:p>
            <w:pPr>
              <w:pStyle w:val="Compact"/>
              <w:keepNext/>
              <w:spacing w:before="0" w:after="0" w:line="240" w:lineRule="auto"/>
              <w:jc w:val="center"/>
            </w:pPr>
            <w:r>
              <w:rPr>
                <w:rFonts w:ascii="Times New Roman" w:hAnsi="Times New Roman" w:eastAsia="Times New Roman" w:cs="Times New Roman"/>
                <w:b w:val="0"/>
                <w:color w:val="000000"/>
                <w:sz w:val="18"/>
                <w:lang w:val="en-GB" w:eastAsia="en-GB" w:bidi="en-GB"/>
              </w:rPr>
              <w:t xml:space="preserve">no</w:t>
            </w:r>
          </w:p>
        </w:tc>
      </w:tr>
      <w:tr>
        <w:trPr>
          <w:cantSplit/>
        </w:trPr>
        <w:tc>
          <w:tcPr>
            <w:vAlign w:val="center"/>
            <w:tcMar>
              <w:top w:w="70" w:type="dxa"/>
              <w:start w:w="80" w:type="dxa"/>
              <w:bottom w:w="70" w:type="dxa"/>
              <w:end w:w="80" w:type="dxa"/>
            </w:tcMar>
          </w:tcPr>
          <w:p>
            <w:pPr>
              <w:pStyle w:val="Compact"/>
              <w:spacing w:before="0" w:after="0" w:line="240" w:lineRule="auto"/>
              <w:jc w:val="left"/>
            </w:pPr>
            <w:r>
              <w:rPr>
                <w:rFonts w:ascii="Times New Roman" w:hAnsi="Times New Roman" w:eastAsia="Times New Roman" w:cs="Times New Roman"/>
                <w:b w:val="0"/>
                <w:color w:val="000000"/>
                <w:sz w:val="18"/>
                <w:lang w:val="en-GB" w:eastAsia="en-GB" w:bidi="en-GB"/>
              </w:rPr>
              <w:t xml:space="preserve">V4 replay</w:t>
            </w:r>
          </w:p>
        </w:tc>
        <w:tc>
          <w:tcPr>
            <w:vAlign w:val="center"/>
            <w:tcMar>
              <w:top w:w="70" w:type="dxa"/>
              <w:start w:w="80" w:type="dxa"/>
              <w:bottom w:w="70" w:type="dxa"/>
              <w:end w:w="80" w:type="dxa"/>
            </w:tcMar>
          </w:tcPr>
          <w:p>
            <w:pPr>
              <w:pStyle w:val="Compact"/>
              <w:spacing w:before="0" w:after="0" w:line="240" w:lineRule="auto"/>
              <w:jc w:val="center"/>
            </w:pPr>
            <w:r>
              <w:rPr>
                <w:rFonts w:ascii="Times New Roman" w:hAnsi="Times New Roman" w:eastAsia="Times New Roman" w:cs="Times New Roman"/>
                <w:b w:val="0"/>
                <w:color w:val="000000"/>
                <w:sz w:val="18"/>
                <w:lang w:val="en-GB" w:eastAsia="en-GB" w:bidi="en-GB"/>
              </w:rPr>
              <w:t xml:space="preserve">verify</w:t>
            </w:r>
          </w:p>
        </w:tc>
        <w:tc>
          <w:tcPr>
            <w:vAlign w:val="center"/>
            <w:tcMar>
              <w:top w:w="70" w:type="dxa"/>
              <w:start w:w="80" w:type="dxa"/>
              <w:bottom w:w="70" w:type="dxa"/>
              <w:end w:w="80" w:type="dxa"/>
            </w:tcMar>
          </w:tcPr>
          <w:p>
            <w:pPr>
              <w:pStyle w:val="Compact"/>
              <w:spacing w:before="0" w:after="0" w:line="240" w:lineRule="auto"/>
              <w:jc w:val="center"/>
            </w:pPr>
            <w:r>
              <w:rPr>
                <w:rFonts w:ascii="Times New Roman" w:hAnsi="Times New Roman" w:eastAsia="Times New Roman" w:cs="Times New Roman"/>
                <w:b w:val="0"/>
                <w:color w:val="000000"/>
                <w:sz w:val="18"/>
                <w:lang w:val="en-GB" w:eastAsia="en-GB" w:bidi="en-GB"/>
              </w:rPr>
              <w:t xml:space="preserve">verify</w:t>
            </w:r>
          </w:p>
        </w:tc>
        <w:tc>
          <w:tcPr>
            <w:vAlign w:val="center"/>
            <w:tcMar>
              <w:top w:w="70" w:type="dxa"/>
              <w:start w:w="80" w:type="dxa"/>
              <w:bottom w:w="70" w:type="dxa"/>
              <w:end w:w="80" w:type="dxa"/>
            </w:tcMar>
          </w:tcPr>
          <w:p>
            <w:pPr>
              <w:pStyle w:val="Compact"/>
              <w:spacing w:before="0" w:after="0" w:line="240" w:lineRule="auto"/>
              <w:jc w:val="center"/>
            </w:pPr>
            <w:r>
              <w:rPr>
                <w:rFonts w:ascii="Times New Roman" w:hAnsi="Times New Roman" w:eastAsia="Times New Roman" w:cs="Times New Roman"/>
                <w:b w:val="0"/>
                <w:color w:val="000000"/>
                <w:sz w:val="18"/>
                <w:lang w:val="en-GB" w:eastAsia="en-GB" w:bidi="en-GB"/>
              </w:rPr>
              <w:t xml:space="preserve">verify</w:t>
            </w:r>
          </w:p>
        </w:tc>
      </w:tr>
    </w:tbl>
    <w:bookmarkEnd w:id="23"/>
    <w:p>
      <w:pPr>
        <w:pStyle w:val="BodyText"/>
      </w:pPr>
      <w:r>
        <w:rPr>
          <w:bCs/>
          <w:rFonts w:ascii="Times New Roman" w:hAnsi="Times New Roman" w:eastAsia="Times New Roman" w:cs="Times New Roman"/>
          <w:b/>
          <w:color w:val="000000"/>
          <w:sz w:val="21"/>
          <w:lang w:val="en-GB" w:eastAsia="en-GB" w:bidi="en-GB"/>
        </w:rPr>
        <w:t xml:space="preserve">Internal semantic soundness.</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Assume that</w:t>
      </w:r>
      <w:r>
        <w:rPr>
          <w:rFonts w:ascii="Times New Roman" w:hAnsi="Times New Roman" w:eastAsia="Times New Roman" w:cs="Times New Roman"/>
          <w:color w:val="000000"/>
          <w:sz w:val="21"/>
          <w:lang w:val="en-GB" w:eastAsia="en-GB" w:bidi="en-GB"/>
        </w:rPr>
        <w:t xml:space="preserve"> </w:t>
      </w:r>
      <m:oMath>
        <m:r>
          <m:t>P</m:t>
        </m:r>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and</w:t>
      </w:r>
      <w:r>
        <w:rPr>
          <w:rFonts w:ascii="Times New Roman" w:hAnsi="Times New Roman" w:eastAsia="Times New Roman" w:cs="Times New Roman"/>
          <w:color w:val="000000"/>
          <w:sz w:val="21"/>
          <w:lang w:val="en-GB" w:eastAsia="en-GB" w:bidi="en-GB"/>
        </w:rPr>
        <w:t xml:space="preserve"> </w:t>
      </w:r>
      <m:oMath>
        <m:r>
          <m:t>δ</m:t>
        </m:r>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are deterministic and that the verifier executes the semantics identified by the trace’s application revision. If V3 and V4 hold for a full-retention step, then the recorded command equals</w:t>
      </w:r>
      <w:r>
        <w:rPr>
          <w:rFonts w:ascii="Times New Roman" w:hAnsi="Times New Roman" w:eastAsia="Times New Roman" w:cs="Times New Roman"/>
          <w:color w:val="000000"/>
          <w:sz w:val="21"/>
          <w:lang w:val="en-GB" w:eastAsia="en-GB" w:bidi="en-GB"/>
        </w:rPr>
        <w:t xml:space="preserve"> </w:t>
      </w:r>
      <m:oMath>
        <m:r>
          <m:t>P</m:t>
        </m:r>
        <m:d>
          <m:dPr>
            <m:begChr m:val="("/>
            <m:endChr m:val=")"/>
            <m:sepChr m:val=""/>
            <m:grow/>
          </m:dPr>
          <m:e>
            <m:sSub>
              <m:e>
                <m:r>
                  <m:t>y</m:t>
                </m:r>
              </m:e>
              <m:sub>
                <m:r>
                  <m:t>i</m:t>
                </m:r>
              </m:sub>
            </m:sSub>
          </m:e>
        </m:d>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and the recorded domain-state projection and events equal</w:t>
      </w:r>
      <w:r>
        <w:rPr>
          <w:rFonts w:ascii="Times New Roman" w:hAnsi="Times New Roman" w:eastAsia="Times New Roman" w:cs="Times New Roman"/>
          <w:color w:val="000000"/>
          <w:sz w:val="21"/>
          <w:lang w:val="en-GB" w:eastAsia="en-GB" w:bidi="en-GB"/>
        </w:rPr>
        <w:t xml:space="preserve"> </w:t>
      </w:r>
      <m:oMath>
        <m:r>
          <m:t>δ</m:t>
        </m:r>
        <m:d>
          <m:dPr>
            <m:begChr m:val="("/>
            <m:endChr m:val=")"/>
            <m:sepChr m:val=""/>
            <m:grow/>
          </m:dPr>
          <m:e>
            <m:sSub>
              <m:e>
                <m:r>
                  <m:t>s</m:t>
                </m:r>
              </m:e>
              <m:sub>
                <m:r>
                  <m:t>i</m:t>
                </m:r>
              </m:sub>
            </m:sSub>
            <m:r>
              <m:rPr>
                <m:sty m:val="p"/>
              </m:rPr>
              <m:t>,</m:t>
            </m:r>
            <m:r>
              <m:t>P</m:t>
            </m:r>
            <m:d>
              <m:dPr>
                <m:begChr m:val="("/>
                <m:endChr m:val=")"/>
                <m:sepChr m:val=""/>
                <m:grow/>
              </m:dPr>
              <m:e>
                <m:sSub>
                  <m:e>
                    <m:r>
                      <m:t>y</m:t>
                    </m:r>
                  </m:e>
                  <m:sub>
                    <m:r>
                      <m:t>i</m:t>
                    </m:r>
                  </m:sub>
                </m:sSub>
              </m:e>
            </m:d>
            <m:r>
              <m:rPr>
                <m:sty m:val="p"/>
              </m:rPr>
              <m:t>;</m:t>
            </m:r>
            <m:sSub>
              <m:e>
                <m:r>
                  <m:t>ρ</m:t>
                </m:r>
              </m:e>
              <m:sub>
                <m:r>
                  <m:t>i</m:t>
                </m:r>
              </m:sub>
            </m:sSub>
          </m:e>
        </m:d>
      </m:oMath>
      <w:r>
        <w:rPr>
          <w:rFonts w:ascii="Times New Roman" w:hAnsi="Times New Roman" w:eastAsia="Times New Roman" w:cs="Times New Roman"/>
          <w:color w:val="000000"/>
          <w:sz w:val="21"/>
          <w:lang w:val="en-GB" w:eastAsia="en-GB" w:bidi="en-GB"/>
        </w:rPr>
        <w:t xml:space="preserve">. This implication concerns internal semantic consistency. Inferring that the trace is a historically authentic record of an earlier execution additionally requires a trusted recorder or an independently anchored commitment. It does not imply that another invocation of</w:t>
      </w:r>
      <w:r>
        <w:rPr>
          <w:rFonts w:ascii="Times New Roman" w:hAnsi="Times New Roman" w:eastAsia="Times New Roman" w:cs="Times New Roman"/>
          <w:color w:val="000000"/>
          <w:sz w:val="21"/>
          <w:lang w:val="en-GB" w:eastAsia="en-GB" w:bidi="en-GB"/>
        </w:rPr>
        <w:t xml:space="preserve"> </w:t>
      </w:r>
      <m:oMath>
        <m:r>
          <m:t>M</m:t>
        </m:r>
      </m:oMath>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would regenerate</w:t>
      </w:r>
      <w:r>
        <w:rPr>
          <w:rFonts w:ascii="Times New Roman" w:hAnsi="Times New Roman" w:eastAsia="Times New Roman" w:cs="Times New Roman"/>
          <w:color w:val="000000"/>
          <w:sz w:val="21"/>
          <w:lang w:val="en-GB" w:eastAsia="en-GB" w:bidi="en-GB"/>
        </w:rPr>
        <w:t xml:space="preserve"> </w:t>
      </w:r>
      <m:oMath>
        <m:sSub>
          <m:e>
            <m:r>
              <m:t>y</m:t>
            </m:r>
          </m:e>
          <m:sub>
            <m:r>
              <m:t>i</m:t>
            </m:r>
          </m:sub>
        </m:sSub>
      </m:oMath>
      <w:r>
        <w:rPr>
          <w:rFonts w:ascii="Times New Roman" w:hAnsi="Times New Roman" w:eastAsia="Times New Roman" w:cs="Times New Roman"/>
          <w:color w:val="000000"/>
          <w:sz w:val="21"/>
          <w:lang w:val="en-GB" w:eastAsia="en-GB" w:bidi="en-GB"/>
        </w:rPr>
        <w:t xml:space="preserve">.</w:t>
      </w:r>
    </w:p>
    <w:bookmarkEnd w:id="24"/>
    <w:bookmarkStart w:id="25" w:name="threat-and-disclosure-boundaries"/>
    <w:p>
      <w:pPr>
        <w:pStyle w:val="Heading2"/>
      </w:pPr>
      <w:r>
        <w:rPr>
          <w:rFonts w:ascii="Times New Roman" w:hAnsi="Times New Roman" w:eastAsia="Times New Roman" w:cs="Times New Roman"/>
          <w:b/>
          <w:i/>
          <w:color w:val="000000"/>
          <w:sz w:val="21"/>
          <w:lang w:val="en-GB" w:eastAsia="en-GB" w:bidi="en-GB"/>
        </w:rPr>
        <w:t xml:space="preserve">Threat and disclosure boundaries</w:t>
      </w:r>
    </w:p>
    <w:p>
      <w:pPr>
        <w:pStyle w:val="FirstParagraph"/>
      </w:pPr>
      <w:r>
        <w:rPr>
          <w:rFonts w:ascii="Times New Roman" w:hAnsi="Times New Roman" w:eastAsia="Times New Roman" w:cs="Times New Roman"/>
          <w:color w:val="000000"/>
          <w:sz w:val="21"/>
          <w:lang w:val="en-GB" w:eastAsia="en-GB" w:bidi="en-GB"/>
        </w:rPr>
        <w:t xml:space="preserve">Canonical SHA-256 values expose accidental corruption and partial edits by making stale commitments observable. An independently preserved commitment is required to detect a comprehensive rewrite in which every internal digest is recomputed. These values are unkeyed commitments, not signatures: a party able to replace the complete trace and all external anchors can construct another internally valid record. Model names and options are declarations; model weights, provider defaults, and serving binaries are not authenticated.</w:t>
      </w:r>
    </w:p>
    <w:p>
      <w:pPr>
        <w:pStyle w:val="BodyText"/>
      </w:pPr>
      <w:r>
        <w:rPr>
          <w:rFonts w:ascii="Times New Roman" w:hAnsi="Times New Roman" w:eastAsia="Times New Roman" w:cs="Times New Roman"/>
          <w:color w:val="000000"/>
          <w:sz w:val="21"/>
          <w:lang w:val="en-GB" w:eastAsia="en-GB" w:bidi="en-GB"/>
        </w:rPr>
        <w:t xml:space="preserve">The three profiles govern prompt, system-instruction, response, and request-message text, not all session metadata or game state. Hash-only storage is not confidentiality: low-entropy prompts may be recoverable by guessing and hashing. Redaction also prevents independent V3 verification. These constraints are properties of the evidence retained, not incidental limitations of the verifier.</w:t>
      </w:r>
    </w:p>
    <w:bookmarkEnd w:id="25"/>
    <w:bookmarkEnd w:id="26"/>
    <w:bookmarkStart w:id="27" w:name="implementation"/>
    <w:p>
      <w:pPr>
        <w:pStyle w:val="Heading1"/>
      </w:pPr>
      <w:r>
        <w:rPr>
          <w:rFonts w:ascii="Times New Roman" w:hAnsi="Times New Roman" w:eastAsia="Times New Roman" w:cs="Times New Roman"/>
          <w:b/>
          <w:color w:val="000000"/>
          <w:sz w:val="24"/>
          <w:lang w:val="en-GB" w:eastAsia="en-GB" w:bidi="en-GB"/>
        </w:rPr>
        <w:t xml:space="preserve">Implementation</w:t>
      </w:r>
    </w:p>
    <w:p>
      <w:pPr>
        <w:pStyle w:val="FirstParagraph"/>
      </w:pPr>
      <w:r>
        <w:rPr>
          <w:rFonts w:ascii="Times New Roman" w:hAnsi="Times New Roman" w:eastAsia="Times New Roman" w:cs="Times New Roman"/>
          <w:color w:val="000000"/>
          <w:sz w:val="21"/>
          <w:lang w:val="en-GB" w:eastAsia="en-GB" w:bidi="en-GB"/>
        </w:rPr>
        <w:t xml:space="preserve">BatLLM’s normalised command forms are movement (</w:t>
      </w:r>
      <w:r>
        <w:rPr>
          <w:rStyle w:val="VerbatimChar"/>
          <w:rFonts w:ascii="Times New Roman" w:hAnsi="Times New Roman" w:eastAsia="Times New Roman" w:cs="Times New Roman"/>
          <w:color w:val="000000"/>
          <w:sz w:val="21"/>
          <w:lang w:val="en-GB" w:eastAsia="en-GB" w:bidi="en-GB"/>
        </w:rPr>
        <w:t xml:space="preserve">M</w:t>
      </w:r>
      <w:r>
        <w:rPr>
          <w:rFonts w:ascii="Times New Roman" w:hAnsi="Times New Roman" w:eastAsia="Times New Roman" w:cs="Times New Roman"/>
          <w:color w:val="000000"/>
          <w:sz w:val="21"/>
          <w:lang w:val="en-GB" w:eastAsia="en-GB" w:bidi="en-GB"/>
        </w:rPr>
        <w:t xml:space="preserve">,</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M</w:t>
      </w:r>
      <m:oMath>
        <m:r>
          <m:t>d</m:t>
        </m:r>
      </m:oMath>
      <w:r>
        <w:rPr>
          <w:rFonts w:ascii="Times New Roman" w:hAnsi="Times New Roman" w:eastAsia="Times New Roman" w:cs="Times New Roman"/>
          <w:color w:val="000000"/>
          <w:sz w:val="21"/>
          <w:lang w:val="en-GB" w:eastAsia="en-GB" w:bidi="en-GB"/>
        </w:rPr>
        <w:t xml:space="preserve">), clockwise and counter-clockwise rotation (</w:t>
      </w:r>
      <w:r>
        <w:rPr>
          <w:rStyle w:val="VerbatimChar"/>
          <w:rFonts w:ascii="Times New Roman" w:hAnsi="Times New Roman" w:eastAsia="Times New Roman" w:cs="Times New Roman"/>
          <w:color w:val="000000"/>
          <w:sz w:val="21"/>
          <w:lang w:val="en-GB" w:eastAsia="en-GB" w:bidi="en-GB"/>
        </w:rPr>
        <w:t xml:space="preserve">C</w:t>
      </w:r>
      <m:oMath>
        <m:r>
          <m:t>α</m:t>
        </m:r>
      </m:oMath>
      <w:r>
        <w:rPr>
          <w:rFonts w:ascii="Times New Roman" w:hAnsi="Times New Roman" w:eastAsia="Times New Roman" w:cs="Times New Roman"/>
          <w:color w:val="000000"/>
          <w:sz w:val="21"/>
          <w:lang w:val="en-GB" w:eastAsia="en-GB" w:bidi="en-GB"/>
        </w:rPr>
        <w:t xml:space="preserve">,</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A</w:t>
      </w:r>
      <m:oMath>
        <m:r>
          <m:t>α</m:t>
        </m:r>
      </m:oMath>
      <w:r>
        <w:rPr>
          <w:rFonts w:ascii="Times New Roman" w:hAnsi="Times New Roman" w:eastAsia="Times New Roman" w:cs="Times New Roman"/>
          <w:color w:val="000000"/>
          <w:sz w:val="21"/>
          <w:lang w:val="en-GB" w:eastAsia="en-GB" w:bidi="en-GB"/>
        </w:rPr>
        <w:t xml:space="preserve">), shooting (</w:t>
      </w:r>
      <w:r>
        <w:rPr>
          <w:rStyle w:val="VerbatimChar"/>
          <w:rFonts w:ascii="Times New Roman" w:hAnsi="Times New Roman" w:eastAsia="Times New Roman" w:cs="Times New Roman"/>
          <w:color w:val="000000"/>
          <w:sz w:val="21"/>
          <w:lang w:val="en-GB" w:eastAsia="en-GB" w:bidi="en-GB"/>
        </w:rPr>
        <w:t xml:space="preserve">B</w:t>
      </w:r>
      <w:r>
        <w:rPr>
          <w:rFonts w:ascii="Times New Roman" w:hAnsi="Times New Roman" w:eastAsia="Times New Roman" w:cs="Times New Roman"/>
          <w:color w:val="000000"/>
          <w:sz w:val="21"/>
          <w:lang w:val="en-GB" w:eastAsia="en-GB" w:bidi="en-GB"/>
        </w:rPr>
        <w:t xml:space="preserve">), and shield operations (</w:t>
      </w:r>
      <w:r>
        <w:rPr>
          <w:rStyle w:val="VerbatimChar"/>
          <w:rFonts w:ascii="Times New Roman" w:hAnsi="Times New Roman" w:eastAsia="Times New Roman" w:cs="Times New Roman"/>
          <w:color w:val="000000"/>
          <w:sz w:val="21"/>
          <w:lang w:val="en-GB" w:eastAsia="en-GB" w:bidi="en-GB"/>
        </w:rPr>
        <w:t xml:space="preserve">S</w:t>
      </w:r>
      <w:r>
        <w:rPr>
          <w:rFonts w:ascii="Times New Roman" w:hAnsi="Times New Roman" w:eastAsia="Times New Roman" w:cs="Times New Roman"/>
          <w:color w:val="000000"/>
          <w:sz w:val="21"/>
          <w:lang w:val="en-GB" w:eastAsia="en-GB" w:bidi="en-GB"/>
        </w:rPr>
        <w:t xml:space="preserve">,</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S1</w:t>
      </w:r>
      <w:r>
        <w:rPr>
          <w:rFonts w:ascii="Times New Roman" w:hAnsi="Times New Roman" w:eastAsia="Times New Roman" w:cs="Times New Roman"/>
          <w:color w:val="000000"/>
          <w:sz w:val="21"/>
          <w:lang w:val="en-GB" w:eastAsia="en-GB" w:bidi="en-GB"/>
        </w:rPr>
        <w:t xml:space="preserve">,</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S0</w:t>
      </w:r>
      <w:r>
        <w:rPr>
          <w:rFonts w:ascii="Times New Roman" w:hAnsi="Times New Roman" w:eastAsia="Times New Roman" w:cs="Times New Roman"/>
          <w:color w:val="000000"/>
          <w:sz w:val="21"/>
          <w:lang w:val="en-GB" w:eastAsia="en-GB" w:bidi="en-GB"/>
        </w:rPr>
        <w:t xml:space="preserve">); unsupported text in the evaluation resolves to</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ERR</w:t>
      </w:r>
      <w:r>
        <w:rPr>
          <w:rFonts w:ascii="Times New Roman" w:hAnsi="Times New Roman" w:eastAsia="Times New Roman" w:cs="Times New Roman"/>
          <w:color w:val="000000"/>
          <w:sz w:val="21"/>
          <w:lang w:val="en-GB" w:eastAsia="en-GB" w:bidi="en-GB"/>
        </w:rPr>
        <w:t xml:space="preserve">. Gameplay is implemented as a pure transition module independent of the Kivy interface. The V4 equivalence relation projects each bot onto health, position, rotation, and shield state; prompt and diagnostic fields belong to invocation evidence rather than gameplay state.</w:t>
      </w:r>
    </w:p>
    <w:p>
      <w:pPr>
        <w:pStyle w:val="BodyText"/>
      </w:pPr>
      <w:r>
        <w:rPr>
          <w:rFonts w:ascii="Times New Roman" w:hAnsi="Times New Roman" w:eastAsia="Times New Roman" w:cs="Times New Roman"/>
          <w:color w:val="000000"/>
          <w:sz w:val="21"/>
          <w:lang w:val="en-GB" w:eastAsia="en-GB" w:bidi="en-GB"/>
        </w:rPr>
        <w:t xml:space="preserve">The v3 research runtime is a headless execution path that uses the same production parser and transition engine. Immediately before adapter invocation, it materialises the ordered messages, requested provider, endpoint declaration, model, generation options, and stream setting. It records timestamps, latency, retry count, response or error, normalised command, rules, states, and semantic events. Failed attempts are removed from subsequent conversation history, matching the application’s rollback policy. The existing graphical application’s v2 user export remains unchanged; this paper’s claims concern the explicit v3 research path.</w:t>
      </w:r>
    </w:p>
    <w:p>
      <w:pPr>
        <w:pStyle w:val="BodyText"/>
      </w:pPr>
      <w:r>
        <w:rPr>
          <w:rFonts w:ascii="Times New Roman" w:hAnsi="Times New Roman" w:eastAsia="Times New Roman" w:cs="Times New Roman"/>
          <w:color w:val="000000"/>
          <w:sz w:val="21"/>
          <w:lang w:val="en-GB" w:eastAsia="en-GB" w:bidi="en-GB"/>
        </w:rPr>
        <w:t xml:space="preserve">Canonical JSON uses UTF-8, ordered keys, compact separators, and rejects non-finite numbers. Separate commitments cover protected text, retained requests, transitions, play records, the ordered play chain, and the session envelope. Semantic events exclude raw model text, which remains only in the retention-governed invocation evidence. The verifier reports predicate-specific failures in text or JSON and exits non-zero. The source, schema, experiments, reviewer ledger, and build instructions are distributed in the BatLLM repository’s</w:t>
      </w:r>
      <w:r>
        <w:rPr>
          <w:rFonts w:ascii="Times New Roman" w:hAnsi="Times New Roman" w:eastAsia="Times New Roman" w:cs="Times New Roman"/>
          <w:color w:val="000000"/>
          <w:sz w:val="21"/>
          <w:lang w:val="en-GB" w:eastAsia="en-GB" w:bidi="en-GB"/>
        </w:rPr>
        <w:t xml:space="preserve"> </w:t>
      </w:r>
      <w:r>
        <w:rPr>
          <w:rStyle w:val="VerbatimChar"/>
          <w:rFonts w:ascii="Times New Roman" w:hAnsi="Times New Roman" w:eastAsia="Times New Roman" w:cs="Times New Roman"/>
          <w:color w:val="000000"/>
          <w:sz w:val="21"/>
          <w:lang w:val="en-GB" w:eastAsia="en-GB" w:bidi="en-GB"/>
        </w:rPr>
        <w:t xml:space="preserve">urucon</w:t>
      </w:r>
      <w:r>
        <w:rPr>
          <w:rFonts w:ascii="Times New Roman" w:hAnsi="Times New Roman" w:eastAsia="Times New Roman" w:cs="Times New Roman"/>
          <w:color w:val="000000"/>
          <w:sz w:val="21"/>
          <w:lang w:val="en-GB" w:eastAsia="en-GB" w:bidi="en-GB"/>
        </w:rPr>
        <w:t xml:space="preserve"> </w:t>
      </w:r>
      <w:r>
        <w:rPr>
          <w:rFonts w:ascii="Times New Roman" w:hAnsi="Times New Roman" w:eastAsia="Times New Roman" w:cs="Times New Roman"/>
          <w:color w:val="000000"/>
          <w:sz w:val="21"/>
          <w:lang w:val="en-GB" w:eastAsia="en-GB" w:bidi="en-GB"/>
        </w:rPr>
        <w:t xml:space="preserve">branch.</w:t>
      </w:r>
    </w:p>
    <w:p>
      <w:pPr>
        <w:pStyle w:val="BodyText"/>
      </w:pPr>
      <w:r>
        <w:rPr>
          <w:rFonts w:ascii="Times New Roman" w:hAnsi="Times New Roman" w:eastAsia="Times New Roman" w:cs="Times New Roman"/>
          <w:color w:val="000000"/>
          <w:sz w:val="21"/>
          <w:lang w:val="en-GB" w:eastAsia="en-GB" w:bidi="en-GB"/>
        </w:rPr>
        <w:t xml:space="preserve">To reduce dependence on a shared implementation, the artefact includes a second executable semantics that imports no production gameplay module. It separately implements command normalisation, movement bounds, rotation, shields, projectile traversal, collision, damage, state normalisation, and semantic-event construction. This is not a formal proof and can share specification errors, but it converts replay from a same-function regression into differential testing between two implementations.</w:t>
      </w:r>
    </w:p>
    <w:bookmarkEnd w:id="27"/>
    <w:bookmarkStart w:id="31" w:name="evaluation"/>
    <w:p>
      <w:pPr>
        <w:pStyle w:val="Heading1"/>
      </w:pPr>
      <w:r>
        <w:rPr>
          <w:rFonts w:ascii="Times New Roman" w:hAnsi="Times New Roman" w:eastAsia="Times New Roman" w:cs="Times New Roman"/>
          <w:b/>
          <w:color w:val="000000"/>
          <w:sz w:val="24"/>
          <w:lang w:val="en-GB" w:eastAsia="en-GB" w:bidi="en-GB"/>
        </w:rPr>
        <w:t xml:space="preserve">Evaluation</w:t>
      </w:r>
    </w:p>
    <w:bookmarkStart w:id="29" w:name="questions-and-protocol"/>
    <w:p>
      <w:pPr>
        <w:pStyle w:val="Heading2"/>
      </w:pPr>
      <w:r>
        <w:rPr>
          <w:rFonts w:ascii="Times New Roman" w:hAnsi="Times New Roman" w:eastAsia="Times New Roman" w:cs="Times New Roman"/>
          <w:b/>
          <w:i/>
          <w:color w:val="000000"/>
          <w:sz w:val="21"/>
          <w:lang w:val="en-GB" w:eastAsia="en-GB" w:bidi="en-GB"/>
        </w:rPr>
        <w:t xml:space="preserve">Questions and protocol</w:t>
      </w:r>
    </w:p>
    <w:p>
      <w:pPr>
        <w:pStyle w:val="FirstParagraph"/>
      </w:pPr>
      <w:r>
        <w:rPr>
          <w:rFonts w:ascii="Times New Roman" w:hAnsi="Times New Roman" w:eastAsia="Times New Roman" w:cs="Times New Roman"/>
          <w:color w:val="000000"/>
          <w:sz w:val="21"/>
          <w:lang w:val="en-GB" w:eastAsia="en-GB" w:bidi="en-GB"/>
        </w:rPr>
        <w:t xml:space="preserve">We evaluate four questions.</w:t>
      </w:r>
      <w:r>
        <w:rPr>
          <w:rFonts w:ascii="Times New Roman" w:hAnsi="Times New Roman" w:eastAsia="Times New Roman" w:cs="Times New Roman"/>
          <w:color w:val="000000"/>
          <w:sz w:val="21"/>
          <w:lang w:val="en-GB" w:eastAsia="en-GB" w:bidi="en-GB"/>
        </w:rPr>
        <w:t xml:space="preserve"> </w:t>
      </w:r>
      <w:r>
        <w:rPr>
          <w:iCs/>
          <w:rFonts w:ascii="Times New Roman" w:hAnsi="Times New Roman" w:eastAsia="Times New Roman" w:cs="Times New Roman"/>
          <w:i/>
          <w:color w:val="000000"/>
          <w:sz w:val="21"/>
          <w:lang w:val="en-GB" w:eastAsia="en-GB" w:bidi="en-GB"/>
        </w:rPr>
        <w:t xml:space="preserve">Q1</w:t>
      </w:r>
      <w:r>
        <w:rPr>
          <w:rFonts w:ascii="Times New Roman" w:hAnsi="Times New Roman" w:eastAsia="Times New Roman" w:cs="Times New Roman"/>
          <w:color w:val="000000"/>
          <w:sz w:val="21"/>
          <w:lang w:val="en-GB" w:eastAsia="en-GB" w:bidi="en-GB"/>
        </w:rPr>
        <w:t xml:space="preserve">: do generated traces satisfy the evidence available under each retention profile and reproduce their recorded state and events?</w:t>
      </w:r>
      <w:r>
        <w:rPr>
          <w:rFonts w:ascii="Times New Roman" w:hAnsi="Times New Roman" w:eastAsia="Times New Roman" w:cs="Times New Roman"/>
          <w:color w:val="000000"/>
          <w:sz w:val="21"/>
          <w:lang w:val="en-GB" w:eastAsia="en-GB" w:bidi="en-GB"/>
        </w:rPr>
        <w:t xml:space="preserve"> </w:t>
      </w:r>
      <w:r>
        <w:rPr>
          <w:iCs/>
          <w:rFonts w:ascii="Times New Roman" w:hAnsi="Times New Roman" w:eastAsia="Times New Roman" w:cs="Times New Roman"/>
          <w:i/>
          <w:color w:val="000000"/>
          <w:sz w:val="21"/>
          <w:lang w:val="en-GB" w:eastAsia="en-GB" w:bidi="en-GB"/>
        </w:rPr>
        <w:t xml:space="preserve">Q2</w:t>
      </w:r>
      <w:r>
        <w:rPr>
          <w:rFonts w:ascii="Times New Roman" w:hAnsi="Times New Roman" w:eastAsia="Times New Roman" w:cs="Times New Roman"/>
          <w:color w:val="000000"/>
          <w:sz w:val="21"/>
          <w:lang w:val="en-GB" w:eastAsia="en-GB" w:bidi="en-GB"/>
        </w:rPr>
        <w:t xml:space="preserve">: does the production transition engine agree with the independent executable semantics?</w:t>
      </w:r>
      <w:r>
        <w:rPr>
          <w:rFonts w:ascii="Times New Roman" w:hAnsi="Times New Roman" w:eastAsia="Times New Roman" w:cs="Times New Roman"/>
          <w:color w:val="000000"/>
          <w:sz w:val="21"/>
          <w:lang w:val="en-GB" w:eastAsia="en-GB" w:bidi="en-GB"/>
        </w:rPr>
        <w:t xml:space="preserve"> </w:t>
      </w:r>
      <w:r>
        <w:rPr>
          <w:iCs/>
          <w:rFonts w:ascii="Times New Roman" w:hAnsi="Times New Roman" w:eastAsia="Times New Roman" w:cs="Times New Roman"/>
          <w:i/>
          <w:color w:val="000000"/>
          <w:sz w:val="21"/>
          <w:lang w:val="en-GB" w:eastAsia="en-GB" w:bidi="en-GB"/>
        </w:rPr>
        <w:t xml:space="preserve">Q3</w:t>
      </w:r>
      <w:r>
        <w:rPr>
          <w:rFonts w:ascii="Times New Roman" w:hAnsi="Times New Roman" w:eastAsia="Times New Roman" w:cs="Times New Roman"/>
          <w:color w:val="000000"/>
          <w:sz w:val="21"/>
          <w:lang w:val="en-GB" w:eastAsia="en-GB" w:bidi="en-GB"/>
        </w:rPr>
        <w:t xml:space="preserve">: does the verifier reject controlled semantic inconsistencies while accepting semantically identical JSON serialisations?</w:t>
      </w:r>
      <w:r>
        <w:rPr>
          <w:rFonts w:ascii="Times New Roman" w:hAnsi="Times New Roman" w:eastAsia="Times New Roman" w:cs="Times New Roman"/>
          <w:color w:val="000000"/>
          <w:sz w:val="21"/>
          <w:lang w:val="en-GB" w:eastAsia="en-GB" w:bidi="en-GB"/>
        </w:rPr>
        <w:t xml:space="preserve"> </w:t>
      </w:r>
      <w:r>
        <w:rPr>
          <w:iCs/>
          <w:rFonts w:ascii="Times New Roman" w:hAnsi="Times New Roman" w:eastAsia="Times New Roman" w:cs="Times New Roman"/>
          <w:i/>
          <w:color w:val="000000"/>
          <w:sz w:val="21"/>
          <w:lang w:val="en-GB" w:eastAsia="en-GB" w:bidi="en-GB"/>
        </w:rPr>
        <w:t xml:space="preserve">Q4</w:t>
      </w:r>
      <w:r>
        <w:rPr>
          <w:rFonts w:ascii="Times New Roman" w:hAnsi="Times New Roman" w:eastAsia="Times New Roman" w:cs="Times New Roman"/>
          <w:color w:val="000000"/>
          <w:sz w:val="21"/>
          <w:lang w:val="en-GB" w:eastAsia="en-GB" w:bidi="en-GB"/>
        </w:rPr>
        <w:t xml:space="preserve">: what canonical storage cost does the reference representation impose?</w:t>
      </w:r>
    </w:p>
    <w:p>
      <w:pPr>
        <w:pStyle w:val="BodyText"/>
      </w:pPr>
      <w:r>
        <w:rPr>
          <w:rFonts w:ascii="Times New Roman" w:hAnsi="Times New Roman" w:eastAsia="Times New Roman" w:cs="Times New Roman"/>
          <w:color w:val="000000"/>
          <w:sz w:val="21"/>
          <w:lang w:val="en-GB" w:eastAsia="en-GB" w:bidi="en-GB"/>
        </w:rPr>
        <w:t xml:space="preserve">The trace corpus contains 60 sessions and 1080 transitions: twenty sessions per retention profile, eighteen transitions per session, four requested model identifiers, shared and independent conversation histories, augmented and unaugmented prompts, varied gameplay parameters, every documented command form, and invalid text. Responses are scripted. This isolates trace semantics from model competence and network availability; it is not an evaluation of LLM behaviour. Incidental identifiers, timestamps, and latency fields are stabilised, while environment and source-revision provenance are retained. All 60 traces validate against the published JSON Schema Draft 2020-12 with date-time format checking.</w:t>
      </w:r>
    </w:p>
    <w:p>
      <w:pPr>
        <w:pStyle w:val="BodyText"/>
      </w:pPr>
      <w:r>
        <w:rPr>
          <w:rFonts w:ascii="Times New Roman" w:hAnsi="Times New Roman" w:eastAsia="Times New Roman" w:cs="Times New Roman"/>
          <w:color w:val="000000"/>
          <w:sz w:val="21"/>
          <w:lang w:val="en-GB" w:eastAsia="en-GB" w:bidi="en-GB"/>
        </w:rPr>
        <w:t xml:space="preserve">Differential testing uses a fixed seed and 5000 targeted and random cases. Cases vary positions, rotation, health, shields, rules, commands, invalid text, and projectile outcomes. Production and reference implementations are compared for normalisation, resulting state, ordered events, and projectile path.</w:t>
      </w:r>
    </w:p>
    <w:p>
      <w:pPr>
        <w:pStyle w:val="BodyText"/>
      </w:pPr>
      <w:r>
        <w:rPr>
          <w:rFonts w:ascii="Times New Roman" w:hAnsi="Times New Roman" w:eastAsia="Times New Roman" w:cs="Times New Roman"/>
          <w:color w:val="000000"/>
          <w:sz w:val="21"/>
          <w:lang w:val="en-GB" w:eastAsia="en-GB" w:bidi="en-GB"/>
        </w:rPr>
        <w:t xml:space="preserve">The perturbation experiment changes eleven classes of evidence: command, retained response, retained invocation, retained human prompt, state supplied to the model, rules, pre-state, post-state, events, deletion, and reordering. Play-local faults are applied in early, middle, and late positions; rule faults are session-level. Mutations unavailable under a retention profile are excluded. Before verification, all commitments derivable from retained mutated content are recomputed. A second control reserialises every valid trace using compact ASCII, pretty Unicode, and recursively reversed key order.</w:t>
      </w:r>
    </w:p>
    <w:p>
      <w:pPr>
        <w:pStyle w:val="BodyText"/>
      </w:pPr>
      <w:r>
        <w:rPr>
          <w:rFonts w:ascii="Times New Roman" w:hAnsi="Times New Roman" w:eastAsia="Times New Roman" w:cs="Times New Roman"/>
          <w:color w:val="000000"/>
          <w:sz w:val="21"/>
          <w:lang w:val="en-GB" w:eastAsia="en-GB" w:bidi="en-GB"/>
        </w:rPr>
        <w:t xml:space="preserve">Storage is measured on canonical UTF-8 JSON and gzip level 9. The artefact also records repeated verifier timing as diagnostic data, but the paper does not treat shared-runner timing as a portable performance result.</w:t>
      </w:r>
    </w:p>
    <w:bookmarkStart w:id="28" w:name="tab:results"/>
    <w:p>
      <w:pPr>
        <w:pStyle w:val="TableCaption"/>
      </w:pPr>
      <w:r>
        <w:rPr>
          <w:rFonts w:ascii="Times New Roman" w:hAnsi="Times New Roman" w:eastAsia="Times New Roman" w:cs="Times New Roman"/>
          <w:b/>
          <w:color w:val="000000"/>
          <w:sz w:val="19"/>
          <w:lang w:val="en-GB" w:eastAsia="en-GB" w:bidi="en-GB"/>
        </w:rPr>
        <w:t xml:space="preserve">Table 2. </w:t>
      </w:r>
      <w:r>
        <w:rPr>
          <w:rFonts w:ascii="Times New Roman" w:hAnsi="Times New Roman" w:eastAsia="Times New Roman" w:cs="Times New Roman"/>
          <w:i/>
          <w:color w:val="000000"/>
          <w:sz w:val="19"/>
          <w:lang w:val="en-GB" w:eastAsia="en-GB" w:bidi="en-GB"/>
        </w:rPr>
        <w:t>Reference artefact results.</w:t>
      </w:r>
    </w:p>
    <w:tbl>
      <w:tblPr>
        <w:tblStyle w:val="Table"/>
        <w:tblW w:type="auto" w:w="0"/>
        <w:jc w:val="center"/>
        <w:tblLayout w:type="autofit"/>
        <w:tblLook w:firstRow="1" w:lastRow="0" w:firstColumn="0" w:lastColumn="0" w:noHBand="0" w:noVBand="0" w:val="0020"/>
        <w:tblCaption w:val="Reference artefact results."/>
      </w:tblPr>
      <w:tblGrid>
        <w:gridCol w:w="3960"/>
        <w:gridCol w:w="3960"/>
      </w:tblGrid>
      <w:tr>
        <w:trPr>
          <w:tblHeader w:val="true"/>
          <w:tblHeader w:val="true"/>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color w:val="000000"/>
                <w:sz w:val="18"/>
                <w:lang w:val="en-GB" w:eastAsia="en-GB" w:bidi="en-GB"/>
              </w:rPr>
              <w:t xml:space="preserve">Measure</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color w:val="000000"/>
                <w:sz w:val="18"/>
                <w:lang w:val="en-GB" w:eastAsia="en-GB" w:bidi="en-GB"/>
              </w:rPr>
              <w:t xml:space="preserve">Result</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Schema-valid / semantically valid</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60 / 60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State / event replays</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1080 / 1080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Full invocation reconstructions</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360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Retained-text groundings verified</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360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Differential state/event/path cases</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5000/5000/5000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Re-anchored perturbations rejected</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1560/1560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Benign serialisations accepted</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180/180</w:t>
            </w:r>
          </w:p>
        </w:tc>
      </w:tr>
      <w:tr>
        <w:trPr>
          <w:cantSplit/>
        </w:trPr>
        <w:tc>
          <w:tcPr>
            <w:vAlign w:val="center"/>
            <w:tcMar>
              <w:top w:w="70" w:type="dxa"/>
              <w:start w:w="80" w:type="dxa"/>
              <w:bottom w:w="70" w:type="dxa"/>
              <w:end w:w="80" w:type="dxa"/>
            </w:tcMar>
          </w:tcPr>
          <w:p>
            <w:pPr>
              <w:pStyle w:val="Compact"/>
              <w:keepNext/>
              <w:spacing w:before="0" w:after="0" w:line="240" w:lineRule="auto"/>
              <w:jc w:val="left"/>
            </w:pPr>
            <w:r>
              <w:rPr>
                <w:rFonts w:ascii="Times New Roman" w:hAnsi="Times New Roman" w:eastAsia="Times New Roman" w:cs="Times New Roman"/>
                <w:b w:val="0"/>
                <w:color w:val="000000"/>
                <w:sz w:val="18"/>
                <w:lang w:val="en-GB" w:eastAsia="en-GB" w:bidi="en-GB"/>
              </w:rPr>
              <w:t xml:space="preserve">Raw bytes/play: full/redacted/hash</w:t>
            </w:r>
          </w:p>
        </w:tc>
        <w:tc>
          <w:tcPr>
            <w:vAlign w:val="center"/>
            <w:tcMar>
              <w:top w:w="70" w:type="dxa"/>
              <w:start w:w="80" w:type="dxa"/>
              <w:bottom w:w="70" w:type="dxa"/>
              <w:end w:w="80" w:type="dxa"/>
            </w:tcMar>
          </w:tcPr>
          <w:p>
            <w:pPr>
              <w:pStyle w:val="Compact"/>
              <w:keepNext/>
              <w:spacing w:before="0" w:after="0" w:line="240" w:lineRule="auto"/>
              <w:jc w:val="right"/>
            </w:pPr>
            <w:r>
              <w:rPr>
                <w:rFonts w:ascii="Times New Roman" w:hAnsi="Times New Roman" w:eastAsia="Times New Roman" w:cs="Times New Roman"/>
                <w:b w:val="0"/>
                <w:color w:val="000000"/>
                <w:sz w:val="18"/>
                <w:lang w:val="en-GB" w:eastAsia="en-GB" w:bidi="en-GB"/>
              </w:rPr>
              <w:t xml:space="preserve">4374/4741/2203</w:t>
            </w:r>
          </w:p>
        </w:tc>
      </w:tr>
      <w:tr>
        <w:trPr>
          <w:cantSplit/>
        </w:trPr>
        <w:tc>
          <w:tcPr>
            <w:vAlign w:val="center"/>
            <w:tcMar>
              <w:top w:w="70" w:type="dxa"/>
              <w:start w:w="80" w:type="dxa"/>
              <w:bottom w:w="70" w:type="dxa"/>
              <w:end w:w="80" w:type="dxa"/>
            </w:tcMar>
          </w:tcPr>
          <w:p>
            <w:pPr>
              <w:pStyle w:val="Compact"/>
              <w:spacing w:before="0" w:after="0" w:line="240" w:lineRule="auto"/>
              <w:jc w:val="left"/>
            </w:pPr>
            <w:r>
              <w:rPr>
                <w:rFonts w:ascii="Times New Roman" w:hAnsi="Times New Roman" w:eastAsia="Times New Roman" w:cs="Times New Roman"/>
                <w:b w:val="0"/>
                <w:color w:val="000000"/>
                <w:sz w:val="18"/>
                <w:lang w:val="en-GB" w:eastAsia="en-GB" w:bidi="en-GB"/>
              </w:rPr>
              <w:t xml:space="preserve">Mean gzip bytes/play</w:t>
            </w:r>
          </w:p>
        </w:tc>
        <w:tc>
          <w:tcPr>
            <w:vAlign w:val="center"/>
            <w:tcMar>
              <w:top w:w="70" w:type="dxa"/>
              <w:start w:w="80" w:type="dxa"/>
              <w:bottom w:w="70" w:type="dxa"/>
              <w:end w:w="80" w:type="dxa"/>
            </w:tcMar>
          </w:tcPr>
          <w:p>
            <w:pPr>
              <w:pStyle w:val="Compact"/>
              <w:spacing w:before="0" w:after="0" w:line="240" w:lineRule="auto"/>
              <w:jc w:val="right"/>
            </w:pPr>
            <w:r>
              <w:rPr>
                <w:rFonts w:ascii="Times New Roman" w:hAnsi="Times New Roman" w:eastAsia="Times New Roman" w:cs="Times New Roman"/>
                <w:b w:val="0"/>
                <w:color w:val="000000"/>
                <w:sz w:val="18"/>
                <w:lang w:val="en-GB" w:eastAsia="en-GB" w:bidi="en-GB"/>
              </w:rPr>
              <w:t xml:space="preserve">439</w:t>
            </w:r>
          </w:p>
        </w:tc>
      </w:tr>
    </w:tbl>
    <w:bookmarkEnd w:id="28"/>
    <w:bookmarkEnd w:id="29"/>
    <w:bookmarkStart w:id="30" w:name="results"/>
    <w:p>
      <w:pPr>
        <w:pStyle w:val="Heading2"/>
      </w:pPr>
      <w:r>
        <w:rPr>
          <w:rFonts w:ascii="Times New Roman" w:hAnsi="Times New Roman" w:eastAsia="Times New Roman" w:cs="Times New Roman"/>
          <w:b/>
          <w:i/>
          <w:color w:val="000000"/>
          <w:sz w:val="21"/>
          <w:lang w:val="en-GB" w:eastAsia="en-GB" w:bidi="en-GB"/>
        </w:rPr>
        <w:t xml:space="preserve">Results</w:t>
      </w:r>
    </w:p>
    <w:p>
      <w:pPr>
        <w:pStyle w:val="FirstParagraph"/>
      </w:pPr>
      <w:r>
        <w:rPr>
          <w:rFonts w:ascii="Times New Roman" w:hAnsi="Times New Roman" w:eastAsia="Times New Roman" w:cs="Times New Roman"/>
          <w:color w:val="000000"/>
          <w:sz w:val="21"/>
          <w:lang w:val="en-GB" w:eastAsia="en-GB" w:bidi="en-GB"/>
        </w:rPr>
        <w:t xml:space="preserve">All sessions passed both the published schema and the semantic guarantees available under their retention profile (Table </w:t>
      </w:r>
      <w:hyperlink w:anchor="tab:results">
        <w:r>
          <w:rPr>
            <w:rStyle w:val="Hyperlink"/>
          </w:rPr>
          <w:t xml:space="preserve">2</w:t>
        </w:r>
      </w:hyperlink>
      <w:r>
        <w:rPr>
          <w:rFonts w:ascii="Times New Roman" w:hAnsi="Times New Roman" w:eastAsia="Times New Roman" w:cs="Times New Roman"/>
          <w:color w:val="000000"/>
          <w:sz w:val="21"/>
          <w:lang w:val="en-GB" w:eastAsia="en-GB" w:bidi="en-GB"/>
        </w:rPr>
        <w:t xml:space="preserve">). Every recorded domain state and event list replayed equivalently. Full retention reconstructed 360 adapter-boundary invocation records and verified 360 response-to-command mappings. The 720 reduced-retention transitions remained operatively replayable without being misreported as independently grounded.</w:t>
      </w:r>
    </w:p>
    <w:p>
      <w:pPr>
        <w:pStyle w:val="BodyText"/>
      </w:pPr>
      <w:r>
        <w:rPr>
          <w:rFonts w:ascii="Times New Roman" w:hAnsi="Times New Roman" w:eastAsia="Times New Roman" w:cs="Times New Roman"/>
          <w:color w:val="000000"/>
          <w:sz w:val="21"/>
          <w:lang w:val="en-GB" w:eastAsia="en-GB" w:bidi="en-GB"/>
        </w:rPr>
        <w:t xml:space="preserve">Production and reference semantics agreed in all 5000 cases for command normalisation, state, events, and projectile paths. The verifier rejected all 1560 applicable re-anchored perturbations across trace positions and accepted all 180 benign variants, yielding no observed false rejection in this control set. These are exhaustive results only for the declared fixtures, not estimates of attack detection in deployment.</w:t>
      </w:r>
    </w:p>
    <w:p>
      <w:pPr>
        <w:pStyle w:val="BodyText"/>
      </w:pPr>
      <w:r>
        <w:rPr>
          <w:rFonts w:ascii="Times New Roman" w:hAnsi="Times New Roman" w:eastAsia="Times New Roman" w:cs="Times New Roman"/>
          <w:color w:val="000000"/>
          <w:sz w:val="21"/>
          <w:lang w:val="en-GB" w:eastAsia="en-GB" w:bidi="en-GB"/>
        </w:rPr>
        <w:t xml:space="preserve">Raw storage varied substantially by retention profile. Redacted traces were slightly larger than full traces because each removed message content was replaced by a structured commitment; hash-only traces were smallest. Compression reduced the overall mean to 439 bytes per play.</w:t>
      </w:r>
    </w:p>
    <w:bookmarkEnd w:id="30"/>
    <w:bookmarkEnd w:id="31"/>
    <w:bookmarkStart w:id="32" w:name="discussion"/>
    <w:p>
      <w:pPr>
        <w:pStyle w:val="Heading1"/>
      </w:pPr>
      <w:r>
        <w:rPr>
          <w:rFonts w:ascii="Times New Roman" w:hAnsi="Times New Roman" w:eastAsia="Times New Roman" w:cs="Times New Roman"/>
          <w:b/>
          <w:color w:val="000000"/>
          <w:sz w:val="24"/>
          <w:lang w:val="en-GB" w:eastAsia="en-GB" w:bidi="en-GB"/>
        </w:rPr>
        <w:t xml:space="preserve">Discussion</w:t>
      </w:r>
    </w:p>
    <w:p>
      <w:pPr>
        <w:pStyle w:val="FirstParagraph"/>
      </w:pPr>
      <w:r>
        <w:rPr>
          <w:rFonts w:ascii="Times New Roman" w:hAnsi="Times New Roman" w:eastAsia="Times New Roman" w:cs="Times New Roman"/>
          <w:color w:val="000000"/>
          <w:sz w:val="21"/>
          <w:lang w:val="en-GB" w:eastAsia="en-GB" w:bidi="en-GB"/>
        </w:rPr>
        <w:t xml:space="preserve">The contract separates three questions that are often collapsed in agent logs. First, what application-level evidence exists for the model interaction? Second, is the recorded linguistic response consistent with the command attributed to it? Third, does that command entail the recorded domain consequence? A full-retention trace can answer all three. Reduced-retention traces deliberately trade the second answer for lower textual disclosure while preserving operative replay. The distinction prevents a replayable command log from being misrepresented as evidence of what a model said.</w:t>
      </w:r>
    </w:p>
    <w:p>
      <w:pPr>
        <w:pStyle w:val="BodyText"/>
      </w:pPr>
      <w:r>
        <w:rPr>
          <w:rFonts w:ascii="Times New Roman" w:hAnsi="Times New Roman" w:eastAsia="Times New Roman" w:cs="Times New Roman"/>
          <w:color w:val="000000"/>
          <w:sz w:val="21"/>
          <w:lang w:val="en-GB" w:eastAsia="en-GB" w:bidi="en-GB"/>
        </w:rPr>
        <w:t xml:space="preserve">The evaluation also distinguishes internal consistency from historical authenticity. Re-anchored perturbations show that cross-field and semantic constraints detect more than stale hashes; benign serialisations show that this strictness is not merely byte-level canonicality. Nevertheless, a comprehensively rewritten trace can remain internally valid. External anchoring is therefore orthogonal to semantic verification.</w:t>
      </w:r>
    </w:p>
    <w:p>
      <w:pPr>
        <w:pStyle w:val="BodyText"/>
      </w:pPr>
      <w:r>
        <w:rPr>
          <w:rFonts w:ascii="Times New Roman" w:hAnsi="Times New Roman" w:eastAsia="Times New Roman" w:cs="Times New Roman"/>
          <w:color w:val="000000"/>
          <w:sz w:val="21"/>
          <w:lang w:val="en-GB" w:eastAsia="en-GB" w:bidi="en-GB"/>
        </w:rPr>
        <w:t xml:space="preserve">BatLLM is one bounded instance, not empirical evidence of cross-domain generality. The transferable design condition is explicit: model text must cross a visible grounding boundary into a command language whose transition semantics can be frozen and re-executed. Tool-calling interfaces, workflow languages, and constrained robotic command layers may satisfy this condition, but each requires its own state projection, event vocabulary, and independent semantic tests.</w:t>
      </w:r>
    </w:p>
    <w:bookmarkEnd w:id="32"/>
    <w:bookmarkStart w:id="33" w:name="limitations-and-conclusion"/>
    <w:p>
      <w:pPr>
        <w:pStyle w:val="Heading1"/>
      </w:pPr>
      <w:r>
        <w:rPr>
          <w:rFonts w:ascii="Times New Roman" w:hAnsi="Times New Roman" w:eastAsia="Times New Roman" w:cs="Times New Roman"/>
          <w:b/>
          <w:color w:val="000000"/>
          <w:sz w:val="24"/>
          <w:lang w:val="en-GB" w:eastAsia="en-GB" w:bidi="en-GB"/>
        </w:rPr>
        <w:t xml:space="preserve">Limitations and Conclusion</w:t>
      </w:r>
    </w:p>
    <w:p>
      <w:pPr>
        <w:pStyle w:val="FirstParagraph"/>
      </w:pPr>
      <w:r>
        <w:rPr>
          <w:rFonts w:ascii="Times New Roman" w:hAnsi="Times New Roman" w:eastAsia="Times New Roman" w:cs="Times New Roman"/>
          <w:color w:val="000000"/>
          <w:sz w:val="21"/>
          <w:lang w:val="en-GB" w:eastAsia="en-GB" w:bidi="en-GB"/>
        </w:rPr>
        <w:t xml:space="preserve">The implementation validates a bounded deterministic domain. Systems with stochastic post-grounding execution must additionally capture random state or external effects. The independent semantics reduces, but cannot eliminate, common-specification error. The corpus uses scripted responses and does not establish live-provider completeness, model quality, or human usefulness. The recorded invocation is application-level rather than transport-level, and declared model identity is not cryptographically tied to weights or serving code. Retention commitments do not provide confidentiality or authorship, and reduced retention sacrifices independent grounding verification. Finally, the graphical application does not yet emit v3 traces; compatibility is preserved through a separate research runtime.</w:t>
      </w:r>
    </w:p>
    <w:p>
      <w:pPr>
        <w:pStyle w:val="BodyText"/>
      </w:pPr>
      <w:r>
        <w:rPr>
          <w:rFonts w:ascii="Times New Roman" w:hAnsi="Times New Roman" w:eastAsia="Times New Roman" w:cs="Times New Roman"/>
          <w:color w:val="000000"/>
          <w:sz w:val="21"/>
          <w:lang w:val="en-GB" w:eastAsia="en-GB" w:bidi="en-GB"/>
        </w:rPr>
        <w:t xml:space="preserve">Within these boundaries, the contract establishes a useful separation: model generation need not be repeatable for the action derived from a recorded response to be verifiable. By retaining evidence at the adapter boundary, exposing grounding as a checkable operation, and replaying explicit domain semantics, BatLLM provides a concrete account of how human instruction became computational state. The pattern applies to other bounded LLM-mediated systems whose outputs are grounded into an explicit command language and deterministic transition function.</w:t>
      </w:r>
    </w:p>
    <w:bookmarkEnd w:id="33"/>
    <w:bookmarkStart w:id="34" w:name="acknowledgement"/>
    <w:p>
      <w:pPr>
        <w:pStyle w:val="Heading1"/>
      </w:pPr>
      <w:r>
        <w:rPr>
          <w:rFonts w:ascii="Times New Roman" w:hAnsi="Times New Roman" w:eastAsia="Times New Roman" w:cs="Times New Roman"/>
          <w:b/>
          <w:color w:val="000000"/>
          <w:sz w:val="24"/>
          <w:lang w:val="en-GB" w:eastAsia="en-GB" w:bidi="en-GB"/>
        </w:rPr>
        <w:t xml:space="preserve">Acknowledgement</w:t>
      </w:r>
    </w:p>
    <w:p>
      <w:pPr>
        <w:pStyle w:val="FirstParagraph"/>
      </w:pPr>
      <w:r>
        <w:rPr>
          <w:rFonts w:ascii="Times New Roman" w:hAnsi="Times New Roman" w:eastAsia="Times New Roman" w:cs="Times New Roman"/>
          <w:color w:val="000000"/>
          <w:sz w:val="21"/>
          <w:lang w:val="en-GB" w:eastAsia="en-GB" w:bidi="en-GB"/>
        </w:rPr>
        <w:t xml:space="preserve">BatLLM was supported by the University of Colorado Boulder’s Center for Humanities &amp; the Arts and Research &amp; Innovation Office.</w:t>
      </w:r>
    </w:p>
    <w:bookmarkEnd w:id="34"/>
    <w:bookmarkStart w:id="54" w:name="bibliography"/>
    <w:p>
      <w:pPr>
        <w:pStyle w:val="Heading1"/>
      </w:pPr>
      <w:r>
        <w:rPr>
          <w:rFonts w:ascii="Times New Roman" w:hAnsi="Times New Roman" w:eastAsia="Times New Roman" w:cs="Times New Roman"/>
          <w:b/>
          <w:color w:val="000000"/>
          <w:sz w:val="24"/>
          <w:lang w:val="en-GB" w:eastAsia="en-GB" w:bidi="en-GB"/>
        </w:rPr>
        <w:t xml:space="preserve">References</w:t>
      </w:r>
    </w:p>
    <w:bookmarkStart w:id="53" w:name="refs"/>
    <w:bookmarkStart w:id="35" w:name="ref-yuan2025nondeterminism"/>
    <w:p>
      <w:pPr>
        <w:pStyle w:val="Bibliography"/>
      </w:pPr>
      <w:r>
        <w:rPr>
          <w:rFonts w:ascii="Times New Roman" w:hAnsi="Times New Roman" w:eastAsia="Times New Roman" w:cs="Times New Roman"/>
          <w:color w:val="000000"/>
          <w:sz w:val="18"/>
          <w:lang w:val="en-GB" w:eastAsia="en-GB" w:bidi="en-GB"/>
        </w:rPr>
        <w:t xml:space="preserve">[1]</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J. Yuan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“Understanding and mitigating numerical sources of nondeterminism in</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inference,”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Advances in neural information processing systems</w:t>
      </w:r>
      <w:r>
        <w:rPr>
          <w:rFonts w:ascii="Times New Roman" w:hAnsi="Times New Roman" w:eastAsia="Times New Roman" w:cs="Times New Roman"/>
          <w:color w:val="000000"/>
          <w:sz w:val="18"/>
          <w:lang w:val="en-GB" w:eastAsia="en-GB" w:bidi="en-GB"/>
        </w:rPr>
        <w:t xml:space="preserve">, 2025.</w:t>
      </w:r>
    </w:p>
    <w:bookmarkEnd w:id="35"/>
    <w:bookmarkStart w:id="36" w:name="ref-laurenzo2026batllm"/>
    <w:p>
      <w:pPr>
        <w:pStyle w:val="Bibliography"/>
      </w:pPr>
      <w:r>
        <w:rPr>
          <w:rFonts w:ascii="Times New Roman" w:hAnsi="Times New Roman" w:eastAsia="Times New Roman" w:cs="Times New Roman"/>
          <w:color w:val="000000"/>
          <w:sz w:val="18"/>
          <w:lang w:val="en-GB" w:eastAsia="en-GB" w:bidi="en-GB"/>
        </w:rPr>
        <w:t xml:space="preserve">[2]</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T. Laurenzo,</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BatLLM</w:t>
      </w:r>
      <w:r>
        <w:rPr>
          <w:rFonts w:ascii="Times New Roman" w:hAnsi="Times New Roman" w:eastAsia="Times New Roman" w:cs="Times New Roman"/>
          <w:color w:val="000000"/>
          <w:sz w:val="18"/>
          <w:lang w:val="en-GB" w:eastAsia="en-GB" w:bidi="en-GB"/>
        </w:rPr>
        <w:t xml:space="preserve">: Local-first human–</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-mediated play and analysis.”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Open-source software, GitHub repository krahd/BatLLM, 2026.</w:t>
      </w:r>
    </w:p>
    <w:bookmarkEnd w:id="36"/>
    <w:bookmarkStart w:id="37" w:name="ref-ma2024agentboard"/>
    <w:p>
      <w:pPr>
        <w:pStyle w:val="Bibliography"/>
      </w:pPr>
      <w:r>
        <w:rPr>
          <w:rFonts w:ascii="Times New Roman" w:hAnsi="Times New Roman" w:eastAsia="Times New Roman" w:cs="Times New Roman"/>
          <w:color w:val="000000"/>
          <w:sz w:val="18"/>
          <w:lang w:val="en-GB" w:eastAsia="en-GB" w:bidi="en-GB"/>
        </w:rPr>
        <w:t xml:space="preserve">[3]</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C. Ma</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AgentBoard</w:t>
      </w:r>
      <w:r>
        <w:rPr>
          <w:rFonts w:ascii="Times New Roman" w:hAnsi="Times New Roman" w:eastAsia="Times New Roman" w:cs="Times New Roman"/>
          <w:color w:val="000000"/>
          <w:sz w:val="18"/>
          <w:lang w:val="en-GB" w:eastAsia="en-GB" w:bidi="en-GB"/>
        </w:rPr>
        <w:t xml:space="preserve">: An analytical evaluation board of multi-turn</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agents,”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Advances in neural information processing systems</w:t>
      </w:r>
      <w:r>
        <w:rPr>
          <w:rFonts w:ascii="Times New Roman" w:hAnsi="Times New Roman" w:eastAsia="Times New Roman" w:cs="Times New Roman"/>
          <w:color w:val="000000"/>
          <w:sz w:val="18"/>
          <w:lang w:val="en-GB" w:eastAsia="en-GB" w:bidi="en-GB"/>
        </w:rPr>
        <w:t xml:space="preserve">, 2024.</w:t>
      </w:r>
    </w:p>
    <w:bookmarkEnd w:id="37"/>
    <w:bookmarkStart w:id="38" w:name="ref-tan2025cradle"/>
    <w:p>
      <w:pPr>
        <w:pStyle w:val="Bibliography"/>
      </w:pPr>
      <w:r>
        <w:rPr>
          <w:rFonts w:ascii="Times New Roman" w:hAnsi="Times New Roman" w:eastAsia="Times New Roman" w:cs="Times New Roman"/>
          <w:color w:val="000000"/>
          <w:sz w:val="18"/>
          <w:lang w:val="en-GB" w:eastAsia="en-GB" w:bidi="en-GB"/>
        </w:rPr>
        <w:t xml:space="preserve">[4]</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 Tan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“Cradle: Empowering foundation agents towards general computer control,”</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Proceedings of the 42nd international conference on machine learning</w:t>
      </w:r>
      <w:r>
        <w:rPr>
          <w:rFonts w:ascii="Times New Roman" w:hAnsi="Times New Roman" w:eastAsia="Times New Roman" w:cs="Times New Roman"/>
          <w:color w:val="000000"/>
          <w:sz w:val="18"/>
          <w:lang w:val="en-GB" w:eastAsia="en-GB" w:bidi="en-GB"/>
        </w:rPr>
        <w:t xml:space="preserve">, in Proceedings of machine learning research, vol. 267. 2025, pp. 58658–58725.</w:t>
      </w:r>
    </w:p>
    <w:bookmarkEnd w:id="38"/>
    <w:bookmarkStart w:id="39" w:name="ref-w3c2013provo"/>
    <w:p>
      <w:pPr>
        <w:pStyle w:val="Bibliography"/>
      </w:pPr>
      <w:r>
        <w:rPr>
          <w:rFonts w:ascii="Times New Roman" w:hAnsi="Times New Roman" w:eastAsia="Times New Roman" w:cs="Times New Roman"/>
          <w:color w:val="000000"/>
          <w:sz w:val="18"/>
          <w:lang w:val="en-GB" w:eastAsia="en-GB" w:bidi="en-GB"/>
        </w:rPr>
        <w:t xml:space="preserve">[5]</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W3C Provenance Working Group,</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PROV-O</w:t>
      </w:r>
      <w:r>
        <w:rPr>
          <w:rFonts w:ascii="Times New Roman" w:hAnsi="Times New Roman" w:eastAsia="Times New Roman" w:cs="Times New Roman"/>
          <w:color w:val="000000"/>
          <w:sz w:val="18"/>
          <w:lang w:val="en-GB" w:eastAsia="en-GB" w:bidi="en-GB"/>
        </w:rPr>
        <w:t xml:space="preserve">: The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PROV</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ontology,”</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World Wide Web Consortium, W3C Recommendation, Apr. 2013.</w:t>
      </w:r>
    </w:p>
    <w:bookmarkEnd w:id="39"/>
    <w:bookmarkStart w:id="40" w:name="ref-otel2026genai"/>
    <w:p>
      <w:pPr>
        <w:pStyle w:val="Bibliography"/>
      </w:pPr>
      <w:r>
        <w:rPr>
          <w:rFonts w:ascii="Times New Roman" w:hAnsi="Times New Roman" w:eastAsia="Times New Roman" w:cs="Times New Roman"/>
          <w:color w:val="000000"/>
          <w:sz w:val="18"/>
          <w:lang w:val="en-GB" w:eastAsia="en-GB" w:bidi="en-GB"/>
        </w:rPr>
        <w:t xml:space="preserve">[6]</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OpenTelemetry Authors,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“Generative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AI</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semantic conventions: Attribute registry.”</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OpenTelemetry Specification, 2026.</w:t>
      </w:r>
    </w:p>
    <w:bookmarkEnd w:id="40"/>
    <w:bookmarkStart w:id="42" w:name="ref-souza2025provagent"/>
    <w:p>
      <w:pPr>
        <w:pStyle w:val="Bibliography"/>
      </w:pPr>
      <w:r>
        <w:rPr>
          <w:rFonts w:ascii="Times New Roman" w:hAnsi="Times New Roman" w:eastAsia="Times New Roman" w:cs="Times New Roman"/>
          <w:color w:val="000000"/>
          <w:sz w:val="18"/>
          <w:lang w:val="en-GB" w:eastAsia="en-GB" w:bidi="en-GB"/>
        </w:rPr>
        <w:t xml:space="preserve">[7]</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R. Souza</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PROV-AGENT</w:t>
      </w:r>
      <w:r>
        <w:rPr>
          <w:rFonts w:ascii="Times New Roman" w:hAnsi="Times New Roman" w:eastAsia="Times New Roman" w:cs="Times New Roman"/>
          <w:color w:val="000000"/>
          <w:sz w:val="18"/>
          <w:lang w:val="en-GB" w:eastAsia="en-GB" w:bidi="en-GB"/>
        </w:rPr>
        <w:t xml:space="preserve">: Unified provenance for tracking</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AI</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agent interactions in agentic workflows,”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2025 IEEE international conference on eScience</w:t>
      </w:r>
      <w:r>
        <w:rPr>
          <w:rFonts w:ascii="Times New Roman" w:hAnsi="Times New Roman" w:eastAsia="Times New Roman" w:cs="Times New Roman"/>
          <w:color w:val="000000"/>
          <w:sz w:val="18"/>
          <w:lang w:val="en-GB" w:eastAsia="en-GB" w:bidi="en-GB"/>
        </w:rPr>
        <w:t xml:space="preserve">, 2025, pp. 467–473. doi:</w:t>
      </w:r>
      <w:r>
        <w:rPr>
          <w:rFonts w:ascii="Times New Roman" w:hAnsi="Times New Roman" w:eastAsia="Times New Roman" w:cs="Times New Roman"/>
          <w:color w:val="000000"/>
          <w:sz w:val="18"/>
          <w:lang w:val="en-GB" w:eastAsia="en-GB" w:bidi="en-GB"/>
        </w:rPr>
        <w:t xml:space="preserve"> </w:t>
      </w:r>
      <w:hyperlink r:id="rId41">
        <w:r>
          <w:rPr>
            <w:rStyle w:val="Hyperlink"/>
          </w:rPr>
          <w:t xml:space="preserve">10.1109/eScience65000.2025.00093</w:t>
        </w:r>
      </w:hyperlink>
      <w:r>
        <w:rPr>
          <w:rFonts w:ascii="Times New Roman" w:hAnsi="Times New Roman" w:eastAsia="Times New Roman" w:cs="Times New Roman"/>
          <w:color w:val="000000"/>
          <w:sz w:val="18"/>
          <w:lang w:val="en-GB" w:eastAsia="en-GB" w:bidi="en-GB"/>
        </w:rPr>
        <w:t xml:space="preserve">.</w:t>
      </w:r>
    </w:p>
    <w:bookmarkEnd w:id="42"/>
    <w:bookmarkStart w:id="44" w:name="ref-wang2026traces"/>
    <w:p>
      <w:pPr>
        <w:pStyle w:val="Bibliography"/>
      </w:pPr>
      <w:r>
        <w:rPr>
          <w:rFonts w:ascii="Times New Roman" w:hAnsi="Times New Roman" w:eastAsia="Times New Roman" w:cs="Times New Roman"/>
          <w:color w:val="000000"/>
          <w:sz w:val="18"/>
          <w:lang w:val="en-GB" w:eastAsia="en-GB" w:bidi="en-GB"/>
        </w:rPr>
        <w:t xml:space="preserve">[8]</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Y. Wang</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“From agent traces to trust: Evidence tracing and execution provenance in</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agents.”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2026. Available:</w:t>
      </w:r>
      <w:r>
        <w:rPr>
          <w:rFonts w:ascii="Times New Roman" w:hAnsi="Times New Roman" w:eastAsia="Times New Roman" w:cs="Times New Roman"/>
          <w:color w:val="000000"/>
          <w:sz w:val="18"/>
          <w:lang w:val="en-GB" w:eastAsia="en-GB" w:bidi="en-GB"/>
        </w:rPr>
        <w:t xml:space="preserve"> </w:t>
      </w:r>
      <w:hyperlink r:id="rId43">
        <w:r>
          <w:rPr>
            <w:rStyle w:val="Hyperlink"/>
          </w:rPr>
          <w:t xml:space="preserve">https://arxiv.org/abs/2606.04990</w:t>
        </w:r>
      </w:hyperlink>
    </w:p>
    <w:bookmarkEnd w:id="44"/>
    <w:bookmarkStart w:id="46" w:name="ref-feng2025agentrr"/>
    <w:p>
      <w:pPr>
        <w:pStyle w:val="Bibliography"/>
      </w:pPr>
      <w:r>
        <w:rPr>
          <w:rFonts w:ascii="Times New Roman" w:hAnsi="Times New Roman" w:eastAsia="Times New Roman" w:cs="Times New Roman"/>
          <w:color w:val="000000"/>
          <w:sz w:val="18"/>
          <w:lang w:val="en-GB" w:eastAsia="en-GB" w:bidi="en-GB"/>
        </w:rPr>
        <w:t xml:space="preserve">[9]</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E. Feng</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et al.</w:t>
      </w:r>
      <w:r>
        <w:rPr>
          <w:rFonts w:ascii="Times New Roman" w:hAnsi="Times New Roman" w:eastAsia="Times New Roman" w:cs="Times New Roman"/>
          <w:color w:val="000000"/>
          <w:sz w:val="18"/>
          <w:lang w:val="en-GB" w:eastAsia="en-GB" w:bidi="en-GB"/>
        </w:rPr>
        <w:t xml:space="preserv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“Get experience from practice: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agents with record &amp; replay.”</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2025. doi:</w:t>
      </w:r>
      <w:r>
        <w:rPr>
          <w:rFonts w:ascii="Times New Roman" w:hAnsi="Times New Roman" w:eastAsia="Times New Roman" w:cs="Times New Roman"/>
          <w:color w:val="000000"/>
          <w:sz w:val="18"/>
          <w:lang w:val="en-GB" w:eastAsia="en-GB" w:bidi="en-GB"/>
        </w:rPr>
        <w:t xml:space="preserve"> </w:t>
      </w:r>
      <w:hyperlink r:id="rId45">
        <w:r>
          <w:rPr>
            <w:rStyle w:val="Hyperlink"/>
          </w:rPr>
          <w:t xml:space="preserve">10.48550/arXiv.2505.17716</w:t>
        </w:r>
      </w:hyperlink>
      <w:r>
        <w:rPr>
          <w:rFonts w:ascii="Times New Roman" w:hAnsi="Times New Roman" w:eastAsia="Times New Roman" w:cs="Times New Roman"/>
          <w:color w:val="000000"/>
          <w:sz w:val="18"/>
          <w:lang w:val="en-GB" w:eastAsia="en-GB" w:bidi="en-GB"/>
        </w:rPr>
        <w:t xml:space="preserve">.</w:t>
      </w:r>
    </w:p>
    <w:bookmarkEnd w:id="46"/>
    <w:bookmarkStart w:id="48" w:name="ref-ledjaki2026psi"/>
    <w:p>
      <w:pPr>
        <w:pStyle w:val="Bibliography"/>
      </w:pPr>
      <w:r>
        <w:rPr>
          <w:rFonts w:ascii="Times New Roman" w:hAnsi="Times New Roman" w:eastAsia="Times New Roman" w:cs="Times New Roman"/>
          <w:color w:val="000000"/>
          <w:sz w:val="18"/>
          <w:lang w:val="en-GB" w:eastAsia="en-GB" w:bidi="en-GB"/>
        </w:rPr>
        <w:t xml:space="preserve">[10]</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 F. Ledjaki, Y.-C. Chang, M. Loutis, and E. Aïmeur,</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“Prompt scene investigation: Uncovering the evidence in</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LLM</w:t>
      </w:r>
      <w:r>
        <w:rPr>
          <w:rFonts w:ascii="Times New Roman" w:hAnsi="Times New Roman" w:eastAsia="Times New Roman" w:cs="Times New Roman"/>
          <w:color w:val="000000"/>
          <w:sz w:val="18"/>
          <w:lang w:val="en-GB" w:eastAsia="en-GB" w:bidi="en-GB"/>
        </w:rPr>
        <w:t xml:space="preserve">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Companion proceedings of the ACM web conference 2026</w:t>
      </w:r>
      <w:r>
        <w:rPr>
          <w:rFonts w:ascii="Times New Roman" w:hAnsi="Times New Roman" w:eastAsia="Times New Roman" w:cs="Times New Roman"/>
          <w:color w:val="000000"/>
          <w:sz w:val="18"/>
          <w:lang w:val="en-GB" w:eastAsia="en-GB" w:bidi="en-GB"/>
        </w:rPr>
        <w:t xml:space="preserve">, 2026, pp. 284–290. doi:</w:t>
      </w:r>
      <w:r>
        <w:rPr>
          <w:rFonts w:ascii="Times New Roman" w:hAnsi="Times New Roman" w:eastAsia="Times New Roman" w:cs="Times New Roman"/>
          <w:color w:val="000000"/>
          <w:sz w:val="18"/>
          <w:lang w:val="en-GB" w:eastAsia="en-GB" w:bidi="en-GB"/>
        </w:rPr>
        <w:t xml:space="preserve"> </w:t>
      </w:r>
      <w:hyperlink r:id="rId47">
        <w:r>
          <w:rPr>
            <w:rStyle w:val="Hyperlink"/>
          </w:rPr>
          <w:t xml:space="preserve">10.1145/3774905.3795469</w:t>
        </w:r>
      </w:hyperlink>
      <w:r>
        <w:rPr>
          <w:rFonts w:ascii="Times New Roman" w:hAnsi="Times New Roman" w:eastAsia="Times New Roman" w:cs="Times New Roman"/>
          <w:color w:val="000000"/>
          <w:sz w:val="18"/>
          <w:lang w:val="en-GB" w:eastAsia="en-GB" w:bidi="en-GB"/>
        </w:rPr>
        <w:t xml:space="preserve">.</w:t>
      </w:r>
    </w:p>
    <w:bookmarkEnd w:id="48"/>
    <w:bookmarkStart w:id="50" w:name="ref-mudasiru2026agrepl"/>
    <w:p>
      <w:pPr>
        <w:pStyle w:val="Bibliography"/>
      </w:pPr>
      <w:r>
        <w:rPr>
          <w:rFonts w:ascii="Times New Roman" w:hAnsi="Times New Roman" w:eastAsia="Times New Roman" w:cs="Times New Roman"/>
          <w:color w:val="000000"/>
          <w:sz w:val="18"/>
          <w:lang w:val="en-GB" w:eastAsia="en-GB" w:bidi="en-GB"/>
        </w:rPr>
        <w:t xml:space="preserve">[11]</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R. Mudasiru,</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“Deterministic replay for</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AI</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agent systems.”</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2026. Available:</w:t>
      </w:r>
      <w:r>
        <w:rPr>
          <w:rFonts w:ascii="Times New Roman" w:hAnsi="Times New Roman" w:eastAsia="Times New Roman" w:cs="Times New Roman"/>
          <w:color w:val="000000"/>
          <w:sz w:val="18"/>
          <w:lang w:val="en-GB" w:eastAsia="en-GB" w:bidi="en-GB"/>
        </w:rPr>
        <w:t xml:space="preserve"> </w:t>
      </w:r>
      <w:hyperlink r:id="rId49">
        <w:r>
          <w:rPr>
            <w:rStyle w:val="Hyperlink"/>
          </w:rPr>
          <w:t xml:space="preserve">https://arxiv.org/abs/2607.16200</w:t>
        </w:r>
      </w:hyperlink>
    </w:p>
    <w:bookmarkEnd w:id="50"/>
    <w:bookmarkStart w:id="52" w:name="ref-paduraru2026assurance"/>
    <w:p>
      <w:pPr>
        <w:pStyle w:val="Bibliography"/>
      </w:pPr>
      <w:r>
        <w:rPr>
          <w:rFonts w:ascii="Times New Roman" w:hAnsi="Times New Roman" w:eastAsia="Times New Roman" w:cs="Times New Roman"/>
          <w:color w:val="000000"/>
          <w:sz w:val="18"/>
          <w:lang w:val="en-GB" w:eastAsia="en-GB" w:bidi="en-GB"/>
        </w:rPr>
        <w:t xml:space="preserve">[12]</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C. Paduraru, P.-L. Bouruc, and A. Stefanescu,</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 trace-based assurance framework for agentic</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AI</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orchestration: Contracts, testing, and governance,”</w:t>
      </w:r>
      <w:r>
        <w:rPr>
          <w:rFonts w:ascii="Times New Roman" w:hAnsi="Times New Roman" w:eastAsia="Times New Roman" w:cs="Times New Roman"/>
          <w:color w:val="000000"/>
          <w:sz w:val="18"/>
          <w:lang w:val="en-GB" w:eastAsia="en-GB" w:bidi="en-GB"/>
        </w:rPr>
        <w:t xml:space="preserve"> </w:t>
      </w:r>
      <w:r>
        <w:rPr>
          <w:rFonts w:ascii="Times New Roman" w:hAnsi="Times New Roman" w:eastAsia="Times New Roman" w:cs="Times New Roman"/>
          <w:color w:val="000000"/>
          <w:sz w:val="18"/>
          <w:lang w:val="en-GB" w:eastAsia="en-GB" w:bidi="en-GB"/>
        </w:rPr>
        <w:t xml:space="preserve">in</w:t>
      </w:r>
      <w:r>
        <w:rPr>
          <w:rFonts w:ascii="Times New Roman" w:hAnsi="Times New Roman" w:eastAsia="Times New Roman" w:cs="Times New Roman"/>
          <w:color w:val="000000"/>
          <w:sz w:val="18"/>
          <w:lang w:val="en-GB" w:eastAsia="en-GB" w:bidi="en-GB"/>
        </w:rPr>
        <w:t xml:space="preserve"> </w:t>
      </w:r>
      <w:r>
        <w:rPr>
          <w:iCs/>
          <w:rFonts w:ascii="Times New Roman" w:hAnsi="Times New Roman" w:eastAsia="Times New Roman" w:cs="Times New Roman"/>
          <w:i/>
          <w:color w:val="000000"/>
          <w:sz w:val="18"/>
          <w:lang w:val="en-GB" w:eastAsia="en-GB" w:bidi="en-GB"/>
        </w:rPr>
        <w:t xml:space="preserve">Proceedings of the 21st international conference on evaluation of novel approaches to software engineering</w:t>
      </w:r>
      <w:r>
        <w:rPr>
          <w:rFonts w:ascii="Times New Roman" w:hAnsi="Times New Roman" w:eastAsia="Times New Roman" w:cs="Times New Roman"/>
          <w:color w:val="000000"/>
          <w:sz w:val="18"/>
          <w:lang w:val="en-GB" w:eastAsia="en-GB" w:bidi="en-GB"/>
        </w:rPr>
        <w:t xml:space="preserve">, 2026, pp. 420–427. doi:</w:t>
      </w:r>
      <w:r>
        <w:rPr>
          <w:rFonts w:ascii="Times New Roman" w:hAnsi="Times New Roman" w:eastAsia="Times New Roman" w:cs="Times New Roman"/>
          <w:color w:val="000000"/>
          <w:sz w:val="18"/>
          <w:lang w:val="en-GB" w:eastAsia="en-GB" w:bidi="en-GB"/>
        </w:rPr>
        <w:t xml:space="preserve"> </w:t>
      </w:r>
      <w:hyperlink r:id="rId51">
        <w:r>
          <w:rPr>
            <w:rStyle w:val="Hyperlink"/>
          </w:rPr>
          <w:t xml:space="preserve">10.5220/0014840300004015</w:t>
        </w:r>
      </w:hyperlink>
      <w:r>
        <w:rPr>
          <w:rFonts w:ascii="Times New Roman" w:hAnsi="Times New Roman" w:eastAsia="Times New Roman" w:cs="Times New Roman"/>
          <w:color w:val="000000"/>
          <w:sz w:val="18"/>
          <w:lang w:val="en-GB" w:eastAsia="en-GB" w:bidi="en-GB"/>
        </w:rPr>
        <w:t xml:space="preserve">.</w:t>
      </w:r>
    </w:p>
    <w:bookmarkEnd w:id="52"/>
    <w:bookmarkEnd w:id="53"/>
    <w:bookmarkEnd w:id="54"/>
    <w:sectPr>
      <w:footerReference w:type="default" r:id="rId9"/>
      <w:pgSz w:w="11906" w:h="16838"/>
      <w:pgMar w:top="1134" w:bottom="1134" w:left="1247" w:right="1247"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18"/>
        <w:lang w:val="en-GB" w:eastAsia="en-GB" w:bidi="en-GB"/>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GB" w:eastAsia="en-GB"/>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45" w:lineRule="auto" w:after="80"/>
      <w:jc w:val="both"/>
    </w:pPr>
    <w:rPr>
      <w:rFonts w:ascii="Times New Roman" w:hAnsi="Times New Roman" w:eastAsia="Times New Roman" w:cs="Times New Roman"/>
      <w:color w:val="000000"/>
      <w:sz w:val="21"/>
      <w:lang w:val="en-GB"/>
    </w:rPr>
  </w:style>
  <w:style w:styleId="BodyText" w:type="paragraph">
    <w:name w:val="Body Text"/>
    <w:basedOn w:val="Normal"/>
    <w:link w:val="BodyTextChar"/>
    <w:pPr>
      <w:widowControl/>
      <w:spacing w:after="80" w:before="180" w:line="245" w:lineRule="auto"/>
      <w:jc w:val="both"/>
    </w:pPr>
    <w:qFormat/>
    <w:rPr>
      <w:rFonts w:ascii="Times New Roman" w:hAnsi="Times New Roman" w:eastAsia="Times New Roman" w:cs="Times New Roman"/>
      <w:color w:val="000000"/>
      <w:sz w:val="21"/>
      <w:lang w:val="en-GB"/>
    </w:rPr>
  </w:style>
  <w:style w:customStyle="1" w:styleId="FirstParagraph" w:type="paragraph">
    <w:name w:val="First Paragraph"/>
    <w:basedOn w:val="BodyText"/>
    <w:next w:val="BodyText"/>
    <w:qFormat/>
    <w:pPr>
      <w:widowControl/>
      <w:spacing w:line="245" w:lineRule="auto" w:after="80"/>
      <w:jc w:val="both"/>
    </w:pPr>
    <w:rPr>
      <w:rFonts w:ascii="Times New Roman" w:hAnsi="Times New Roman" w:eastAsia="Times New Roman" w:cs="Times New Roman"/>
      <w:color w:val="000000"/>
      <w:sz w:val="21"/>
      <w:lang w:val="en-GB"/>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480"/>
      <w:jc w:val="center"/>
    </w:pPr>
    <w:rPr>
      <w:rFonts w:asciiTheme="majorHAnsi" w:cstheme="majorBidi" w:eastAsiaTheme="majorEastAsia" w:hAnsiTheme="majorHAnsi" w:ascii="Times New Roman" w:hAnsi="Times New Roman" w:eastAsia="Times New Roman" w:cs="Times New Roman"/>
      <w:b/>
      <w:bCs/>
      <w:color w:val="000000"/>
      <w:sz w:val="32"/>
      <w:szCs w:val="36"/>
      <w:lang w:val="en-GB"/>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color w:val="000000"/>
      <w:sz w:val="21"/>
      <w:szCs w:val="20"/>
      <w:rFonts w:ascii="Times New Roman" w:hAnsi="Times New Roman" w:eastAsia="Times New Roman" w:cs="Times New Roman"/>
      <w:b/>
      <w:lang w:val="en-GB"/>
    </w:rPr>
  </w:style>
  <w:style w:customStyle="1" w:styleId="Abstract" w:type="paragraph">
    <w:name w:val="Abstract"/>
    <w:basedOn w:val="Normal"/>
    <w:next w:val="BodyText"/>
    <w:qFormat/>
    <w:pPr>
      <w:keepNext/>
      <w:keepLines/>
      <w:spacing w:after="300" w:before="100" w:line="240" w:lineRule="auto"/>
      <w:ind w:left="397" w:right="397"/>
      <w:jc w:val="both"/>
    </w:pPr>
    <w:rPr>
      <w:rFonts w:ascii="Times New Roman" w:hAnsi="Times New Roman" w:eastAsia="Times New Roman" w:cs="Times New Roman"/>
      <w:color w:val="000000"/>
      <w:sz w:val="19"/>
      <w:szCs w:val="20"/>
      <w:lang w:val="en-GB"/>
    </w:rPr>
  </w:style>
  <w:style w:styleId="Bibliography" w:type="paragraph">
    <w:name w:val="Bibliography"/>
    <w:basedOn w:val="Normal"/>
    <w:next w:val="Bibliography"/>
    <w:qFormat/>
    <w:pPr>
      <w:spacing w:line="240" w:lineRule="auto" w:after="40"/>
      <w:ind w:left="454" w:hanging="454"/>
    </w:pPr>
    <w:rPr>
      <w:rFonts w:ascii="Times New Roman" w:hAnsi="Times New Roman" w:eastAsia="Times New Roman" w:cs="Times New Roman"/>
      <w:color w:val="000000"/>
      <w:sz w:val="18"/>
      <w:lang w:val="en-GB"/>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20" w:after="60"/>
    </w:pPr>
    <w:rPr>
      <w:rFonts w:ascii="Times New Roman" w:hAnsi="Times New Roman" w:eastAsia="Times New Roman" w:cs="Times New Roman"/>
      <w:i/>
      <w:color w:val="000000"/>
      <w:sz w:val="19"/>
      <w:lang w:val="en-GB"/>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hyperlink" Target="https://arxiv.org/abs/2606.04990" TargetMode="External"/><Relationship Id="rId49" Type="http://schemas.openxmlformats.org/officeDocument/2006/relationships/hyperlink" Target="https://arxiv.org/abs/2607.16200" TargetMode="External"/><Relationship Id="rId41" Type="http://schemas.openxmlformats.org/officeDocument/2006/relationships/hyperlink" Target="https://doi.org/10.1109/eScience65000.2025.00093" TargetMode="External"/><Relationship Id="rId47" Type="http://schemas.openxmlformats.org/officeDocument/2006/relationships/hyperlink" Target="https://doi.org/10.1145/3774905.3795469" TargetMode="External"/><Relationship Id="rId45" Type="http://schemas.openxmlformats.org/officeDocument/2006/relationships/hyperlink" Target="https://doi.org/10.48550/arXiv.2505.17716" TargetMode="External"/><Relationship Id="rId51" Type="http://schemas.openxmlformats.org/officeDocument/2006/relationships/hyperlink" Target="https://doi.org/10.5220/0014840300004015"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3" Type="http://schemas.openxmlformats.org/officeDocument/2006/relationships/hyperlink" Target="https://arxiv.org/abs/2606.04990" TargetMode="External"/><Relationship Id="rId49" Type="http://schemas.openxmlformats.org/officeDocument/2006/relationships/hyperlink" Target="https://arxiv.org/abs/2607.16200" TargetMode="External"/><Relationship Id="rId41" Type="http://schemas.openxmlformats.org/officeDocument/2006/relationships/hyperlink" Target="https://doi.org/10.1109/eScience65000.2025.00093" TargetMode="External"/><Relationship Id="rId47" Type="http://schemas.openxmlformats.org/officeDocument/2006/relationships/hyperlink" Target="https://doi.org/10.1145/3774905.3795469" TargetMode="External"/><Relationship Id="rId45" Type="http://schemas.openxmlformats.org/officeDocument/2006/relationships/hyperlink" Target="https://doi.org/10.48550/arXiv.2505.17716" TargetMode="External"/><Relationship Id="rId51" Type="http://schemas.openxmlformats.org/officeDocument/2006/relationships/hyperlink" Target="https://doi.org/10.5220/0014840300004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Prompt to State: Verifiable Grounding and Operative Replay for LLM-Mediated Control</dc:title>
  <dc:creator>Tomas Laurenzo</dc:creator>
  <cp:keywords>large language models, provenance, replay, grounding, verification, human-AI interaction</cp:keywords>
  <dcterms:created xsi:type="dcterms:W3CDTF">2026-07-22T17:53:13Z</dcterms:created>
  <dcterms:modified xsi:type="dcterms:W3CDTF">2026-07-22T17:53:13Z</dcterms:modified>
  <dc:subject>URUCON 2026 Computing Track paper</dc:subject>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When a large language model mediates executable action, an interaction crosses two distinct boundaries: a stochastic model produces text, and an application grounds that text into a deterministic command. Repeating the model call is therefore neither necessary nor generally sufficient to verify the resulting state change. This paper defines an evidence contract for bounded LLM-mediated systems. A trace records the adapter-boundary invocation record, returned text or a commitment to it, the response-to-command grounding, frozen domain rules, semantic events, and pre- and post-action states. Four verification predicates check trace integrity, invocation reconstruction, grounding consistency, and operative replay. We implement the contract in BatLLM, an open-source game in which human instructions are mediated by local language models. The artefact includes a versioned schema, three text-retention profiles, canonical commitments, a provider-neutral recorder, a headless verifier, and an independently implemented reference semantics. In 60 generated sessions comprising 1080 transitions, all recorded states and events replayed equivalently. Full-retention traces reconstructed 360 application-level invocations and independently verified 360 groundings. Differential testing matched production and reference semantics in all 5000 cases. The verifier detected all 1560 applicable re-anchored perturbations and accepted all 180 benign serialisation variants. The result is not model-output reproducibility or generic agent replay; it is a precise, testable account of how retained linguistic evidence produced a domain state.</vt:lpwstr>
  </property>
  <property fmtid="{D5CDD505-2E9C-101B-9397-08002B2CF9AE}" pid="3" name="bibliography">
    <vt:lpwstr>/home/runner/work/BatLLM/BatLLM/research/urucon2026/paper/references.bib</vt:lpwstr>
  </property>
  <property fmtid="{D5CDD505-2E9C-101B-9397-08002B2CF9AE}" pid="4" name="csl">
    <vt:lpwstr>/usr/share/pandoc/data/csl/ieee.csl</vt:lpwstr>
  </property>
  <property fmtid="{D5CDD505-2E9C-101B-9397-08002B2CF9AE}" pid="5" name="reference-section-title">
    <vt:lpwstr>References</vt:lpwstr>
  </property>
</Properties>
</file>