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035F7" w14:textId="77777777" w:rsidR="00BA5BD8" w:rsidRPr="009372F7" w:rsidRDefault="00BA5BD8" w:rsidP="00BA5BD8">
      <w:pPr>
        <w:spacing w:line="360" w:lineRule="auto"/>
        <w:rPr>
          <w:rFonts w:ascii="Times" w:eastAsia="Calibri" w:hAnsi="Times" w:cs="Calibri"/>
          <w:i/>
          <w:highlight w:val="white"/>
        </w:rPr>
      </w:pPr>
      <w:r w:rsidRPr="009372F7">
        <w:rPr>
          <w:rFonts w:ascii="Times" w:eastAsia="Calibri" w:hAnsi="Times" w:cs="Calibri"/>
          <w:i/>
          <w:highlight w:val="white"/>
        </w:rPr>
        <w:t>Pedigree Relationships Between NAM Parents</w:t>
      </w:r>
    </w:p>
    <w:p w14:paraId="69578B19" w14:textId="77777777" w:rsidR="00BA5BD8" w:rsidRDefault="00BA5BD8"/>
    <w:p w14:paraId="5DB1162D" w14:textId="27119A42" w:rsidR="002C21B2" w:rsidRDefault="002C21B2">
      <w:r>
        <w:t xml:space="preserve">The NAM founders were based on two cycles of intermating within the UMN breeding program, which originated from material in at The Land Institute (TLI). Pedigree records at TLI trace maternal families back to the TLI founder </w:t>
      </w:r>
      <w:r w:rsidR="00BA5BD8">
        <w:t>individuals</w:t>
      </w:r>
      <w:r>
        <w:t xml:space="preserve">, as random intermating was conducted without male parent pollen control </w:t>
      </w:r>
      <w:r>
        <w:fldChar w:fldCharType="begin" w:fldLock="1"/>
      </w:r>
      <w:r w:rsidR="00D35081">
        <w:instrText>ADDIN CSL_CITATION {"citationItems":[{"id":"ITEM-1","itemData":{"DOI":"10.3390/su10051499","ISSN":"20711050","author":[{"dropping-particle":"","family":"DeHaan","given":"Lee","non-dropping-particle":"","parse-names":false,"suffix":""},{"dropping-particle":"","family":"Christians","given":"Marty","non-dropping-particle":"","parse-names":false,"suffix":""},{"dropping-particle":"","family":"Crain","given":"Jared","non-dropping-particle":"","parse-names":false,"suffix":""},{"dropping-particle":"","family":"Poland","given":"Jesse","non-dropping-particle":"","parse-names":false,"suffix":""}],"container-title":"Sustainability","id":"ITEM-1","issued":{"date-parts":[["2018"]]},"page":"1-19","title":"Development and evolution of an intermediate wheatgrass domestication program","type":"article-journal"},"uris":["http://www.mendeley.com/documents/?uuid=48c4e65e-cdd4-4664-86f5-189c9f0c029a"]}],"mendeley":{"formattedCitation":"(DeHaan et al., 2018)","plainTextFormattedCitation":"(DeHaan et al., 2018)","previouslyFormattedCitation":"(DeHaan et al., 2018)"},"properties":{"noteIndex":0},"schema":"https://github.com/citation-style-language/schema/raw/master/csl-citation.json"}</w:instrText>
      </w:r>
      <w:r>
        <w:fldChar w:fldCharType="separate"/>
      </w:r>
      <w:r w:rsidRPr="002C21B2">
        <w:rPr>
          <w:noProof/>
        </w:rPr>
        <w:t>(DeHaan et al., 2018)</w:t>
      </w:r>
      <w:r>
        <w:fldChar w:fldCharType="end"/>
      </w:r>
      <w:r>
        <w:t xml:space="preserve">. As genotypic data was collected in UMN Cycle 2, we used historical breeding data to identify the paternal parents of the NAM founders allowing </w:t>
      </w:r>
      <w:r w:rsidR="003C313C">
        <w:t>complete grandparent origin for NAM genets, and maternal pedigrees six generations back from the NAM genets to be constructed</w:t>
      </w:r>
      <w:r w:rsidR="00D35081">
        <w:t xml:space="preserve"> </w:t>
      </w:r>
      <w:r w:rsidR="00BA5BD8">
        <w:fldChar w:fldCharType="begin" w:fldLock="1"/>
      </w:r>
      <w:r w:rsidR="00BA5BD8">
        <w:instrText>ADDIN CSL_CITATION {"citationItems":[{"id":"ITEM-1","itemData":{"DOI":"10.3835/plantgenome2015.07.0059","ISSN":"1940-3372","PMID":"27898759","abstract":"Intermediate wheatgrass (IWG) is a perennial species and has edible and nutritious grain and desirable agronomic traits, includ- ing large seed size, high grain yield, and biomass. It also has the potential to provide ecosystem services and an economic return to farmers. However, because of its allohexaploidy and self-incom- patibility, developing molecular markers for genetic analysis and molecular breeding has been challenging. In the present study, us- ing genotyping-by-sequencing (GBS) technology, 3436 genome- wide markers discovered in a biparental population with 178 genets, were mapped to 21 linkage groups (LG) corresponding to 21 chromosomes of IWG. Genomic prediction models were de- veloped using 3883 markers discovered in a breeding population containing 1126 representative genets from 58 half-sib families. High predictive ability was observed for seven agronomic traits using cross-validation, ranging from 0.46 for biomass to 0.67 for seed weight. Optimization results indicated that 8 to 10 genets from each half-sib family can form a good training population to predict the breeding value of their siblings, and 1600 genome- wide markers are adequate to capture the genetic variation in the current breeding population for genomic selection. Thus, with the advances in sequencing-based marker technologies, it was practi- cal to perform molecular genetic analysis and molecular breeding on a new and challenging species like IWG, and genomic selec- tion could increase the efficiency of recurrent selection and accel- erate the domestication and improvement of IWG.","author":[{"dropping-particle":"","family":"Zhang","given":"Xiaofei","non-dropping-particle":"","parse-names":false,"suffix":""},{"dropping-particle":"","family":"Sallam","given":"Ahmad","non-dropping-particle":"","parse-names":false,"suffix":""},{"dropping-particle":"","family":"Gao","given":"Liangliang","non-dropping-particle":"","parse-names":false,"suffix":""},{"dropping-particle":"","family":"Kantarski","given":"Traci","non-dropping-particle":"","parse-names":false,"suffix":""},{"dropping-particle":"","family":"Poland","given":"Jesse","non-dropping-particle":"","parse-names":false,"suffix":""},{"dropping-particle":"","family":"DeHaan","given":"Lee R.","non-dropping-particle":"","parse-names":false,"suffix":""},{"dropping-particle":"","family":"Wyse","given":"Donald L.","non-dropping-particle":"","parse-names":false,"suffix":""},{"dropping-particle":"","family":"Anderson","given":"James A.","non-dropping-particle":"","parse-names":false,"suffix":""}],"container-title":"The Plant Genome","id":"ITEM-1","issue":"1","issued":{"date-parts":[["2016"]]},"page":"1-18","title":"Establishment and optimization of genomic selection to accelerate the domestication and improvement of intermediate wheatgrass","type":"article-journal","volume":"9"},"uris":["http://www.mendeley.com/documents/?uuid=bd5aeca2-baf2-4ed2-8fd3-854439ddd34a"]}],"mendeley":{"formattedCitation":"(Zhang et al., 2016)","plainTextFormattedCitation":"(Zhang et al., 2016)"},"properties":{"noteIndex":0},"schema":"https://github.com/citation-style-language/schema/raw/master/csl-citation.json"}</w:instrText>
      </w:r>
      <w:r w:rsidR="00BA5BD8">
        <w:fldChar w:fldCharType="separate"/>
      </w:r>
      <w:r w:rsidR="00BA5BD8" w:rsidRPr="00BA5BD8">
        <w:rPr>
          <w:noProof/>
        </w:rPr>
        <w:t>(Zhang et al., 2016)</w:t>
      </w:r>
      <w:r w:rsidR="00BA5BD8">
        <w:fldChar w:fldCharType="end"/>
      </w:r>
      <w:r w:rsidR="00D35081">
        <w:t>(Supplementary Figure 2)</w:t>
      </w:r>
      <w:r w:rsidR="003C313C">
        <w:t>.</w:t>
      </w:r>
    </w:p>
    <w:p w14:paraId="2C2B4488" w14:textId="12F0CFDA" w:rsidR="003C313C" w:rsidRDefault="003C313C"/>
    <w:p w14:paraId="6FC1B3BC" w14:textId="48D5CF3C" w:rsidR="00D35081" w:rsidRPr="00BA5BD8" w:rsidRDefault="00D35081" w:rsidP="00D35081">
      <w:pPr>
        <w:rPr>
          <w:rFonts w:ascii="Times New Roman" w:eastAsia="Times New Roman" w:hAnsi="Times New Roman" w:cs="Times New Roman"/>
        </w:rPr>
      </w:pPr>
      <w:r w:rsidRPr="00D35081">
        <w:rPr>
          <w:rFonts w:cstheme="minorHAnsi"/>
        </w:rPr>
        <w:t>Genotyping-by-sequencing</w:t>
      </w:r>
      <w:r w:rsidR="00FE563F">
        <w:rPr>
          <w:rFonts w:cstheme="minorHAnsi"/>
        </w:rPr>
        <w:t xml:space="preserve"> (GBS)</w:t>
      </w:r>
      <w:r w:rsidRPr="00D35081">
        <w:rPr>
          <w:rFonts w:cstheme="minorHAnsi"/>
        </w:rPr>
        <w:t xml:space="preserve"> data from UMN Cycle 2, </w:t>
      </w:r>
      <w:r>
        <w:rPr>
          <w:rFonts w:cstheme="minorHAnsi"/>
        </w:rPr>
        <w:t xml:space="preserve">a </w:t>
      </w:r>
      <w:r w:rsidRPr="00D35081">
        <w:rPr>
          <w:rFonts w:cstheme="minorHAnsi"/>
        </w:rPr>
        <w:t xml:space="preserve">subset of SRA </w:t>
      </w:r>
      <w:proofErr w:type="spellStart"/>
      <w:r w:rsidRPr="00D35081">
        <w:rPr>
          <w:rFonts w:cstheme="minorHAnsi"/>
        </w:rPr>
        <w:t>Bioproject</w:t>
      </w:r>
      <w:proofErr w:type="spellEnd"/>
      <w:r w:rsidRPr="00D35081">
        <w:rPr>
          <w:rFonts w:cstheme="minorHAnsi"/>
        </w:rPr>
        <w:t xml:space="preserve"> </w:t>
      </w:r>
      <w:r w:rsidRPr="00D35081">
        <w:rPr>
          <w:rFonts w:eastAsia="Times New Roman" w:cstheme="minorHAnsi"/>
          <w:color w:val="000000" w:themeColor="text1"/>
        </w:rPr>
        <w:t>PRJNA608473</w:t>
      </w:r>
      <w:r w:rsidR="00FF0872">
        <w:rPr>
          <w:rFonts w:eastAsia="Times New Roman" w:cstheme="minorHAnsi"/>
          <w:color w:val="000000" w:themeColor="text1"/>
        </w:rPr>
        <w:t xml:space="preserve">, </w:t>
      </w:r>
      <w:r w:rsidR="00FF0872" w:rsidRPr="00FF0872">
        <w:rPr>
          <w:rFonts w:eastAsia="Times New Roman" w:cstheme="minorHAnsi"/>
          <w:color w:val="000000" w:themeColor="text1"/>
        </w:rPr>
        <w:t xml:space="preserve">experiment </w:t>
      </w:r>
      <w:hyperlink r:id="rId5" w:history="1">
        <w:r w:rsidR="00FF0872" w:rsidRPr="00FF0872">
          <w:rPr>
            <w:rFonts w:eastAsia="Times New Roman" w:cstheme="minorHAnsi"/>
            <w:color w:val="000000" w:themeColor="text1"/>
          </w:rPr>
          <w:t>SRX7814130</w:t>
        </w:r>
      </w:hyperlink>
      <w:r w:rsidRPr="00FF0872">
        <w:rPr>
          <w:rFonts w:eastAsia="Times New Roman" w:cstheme="minorHAnsi"/>
          <w:color w:val="000000" w:themeColor="text1"/>
        </w:rPr>
        <w:t>, and</w:t>
      </w:r>
      <w:r w:rsidRPr="00D35081">
        <w:rPr>
          <w:rFonts w:eastAsia="Times New Roman" w:cstheme="minorHAnsi"/>
          <w:color w:val="000000" w:themeColor="text1"/>
        </w:rPr>
        <w:t xml:space="preserve"> the genotypic </w:t>
      </w:r>
      <w:r>
        <w:rPr>
          <w:rFonts w:eastAsia="Times New Roman" w:cstheme="minorHAnsi"/>
          <w:color w:val="000000" w:themeColor="text1"/>
        </w:rPr>
        <w:t>data from the NAM population were combined to identify SNPs for parent analysis.</w:t>
      </w:r>
      <w:r w:rsidR="00FE563F">
        <w:rPr>
          <w:rFonts w:eastAsia="Times New Roman" w:cstheme="minorHAnsi"/>
          <w:color w:val="000000" w:themeColor="text1"/>
        </w:rPr>
        <w:t xml:space="preserve"> The GBS libraries were prepared using a two enz</w:t>
      </w:r>
      <w:r w:rsidR="003F3F91">
        <w:rPr>
          <w:rFonts w:eastAsia="Times New Roman" w:cstheme="minorHAnsi"/>
          <w:color w:val="000000" w:themeColor="text1"/>
        </w:rPr>
        <w:t>y</w:t>
      </w:r>
      <w:r w:rsidR="00FE563F">
        <w:rPr>
          <w:rFonts w:eastAsia="Times New Roman" w:cstheme="minorHAnsi"/>
          <w:color w:val="000000" w:themeColor="text1"/>
        </w:rPr>
        <w:t xml:space="preserve">me approach similar to the methods of Poland et al. </w:t>
      </w:r>
      <w:r w:rsidR="00FE563F">
        <w:rPr>
          <w:rFonts w:eastAsia="Times New Roman" w:cstheme="minorHAnsi"/>
          <w:color w:val="000000" w:themeColor="text1"/>
        </w:rPr>
        <w:fldChar w:fldCharType="begin" w:fldLock="1"/>
      </w:r>
      <w:r w:rsidR="00FE563F">
        <w:rPr>
          <w:rFonts w:eastAsia="Times New Roman" w:cstheme="minorHAnsi"/>
          <w:color w:val="000000" w:themeColor="text1"/>
        </w:rPr>
        <w:instrText>ADDIN CSL_CITATION {"citationItems":[{"id":"ITEM-1","itemData":{"DOI":"10.1371/journal.pone.0032253","ISBN":"10.1371/journal.pone.0032253","ISSN":"19326203","PMID":"22389690","abstract":"Advancements in next-generation sequencing technology have enabled whole genome re-sequencing in many species providing unprecedented discovery and characterization of molecular polymorphisms. There are limitations, however, to next-generation sequencing approaches for species with large complex genomes such as barley and wheat. Genotyping-by-sequencing (GBS) has been developed as a tool for association studies and genomics-assisted breeding in a range of species including those with complex genomes. GBS uses restriction enzymes for targeted complexity reduction followed by multiplex sequencing to produce high-quality polymorphism data at a relatively low per sample cost. Here we present a GBS approach for species that currently lack a reference genome sequence. We developed a novel two-enzyme GBS protocol and genotyped bi-parental barley and wheat populations to develop a genetically anchored reference map of identified SNPs and tags. We were able to map over 34,000 SNPs and 240,000 tags onto the Oregon Wolfe Barley reference map, and 20,000 SNPs and 367,000 tags on the Synthetic W9784 × Opata85 (SynOpDH) wheat reference map. To further evaluate GBS in wheat, we also constructed a de novo genetic map using only SNP markers from the GBS data. The GBS approach presented here provides a powerful method of developing high-density markers in species without a sequenced genome while providing valuable tools for anchoring and ordering physical maps and whole-genome shotgun sequence. Development of the sequenced reference genome(s) will in turn increase the utility of GBS data enabling physical mapping of genes and haplotype imputation of missing data. Finally, as a result of low per-sample costs, GBS will have broad application in genomics-assisted plant breeding programs.","author":[{"dropping-particle":"","family":"Poland","given":"Jesse A.","non-dropping-particle":"","parse-names":false,"suffix":""},{"dropping-particle":"","family":"Brown","given":"Patrick J.","non-dropping-particle":"","parse-names":false,"suffix":""},{"dropping-particle":"","family":"Sorrells","given":"Mark E.","non-dropping-particle":"","parse-names":false,"suffix":""},{"dropping-particle":"","family":"Jannink","given":"Jean Luc","non-dropping-particle":"","parse-names":false,"suffix":""}],"container-title":"PLoS ONE","id":"ITEM-1","issue":"2","issued":{"date-parts":[["2012"]]},"title":"Development of high-density genetic maps for barley and wheat using a novel two-enzyme genotyping-by-sequencing approach","type":"article-journal","volume":"7"},"suppress-author":1,"uris":["http://www.mendeley.com/documents/?uuid=67b9fecd-20f7-450b-b68b-b0ff3be4ebdc"]}],"mendeley":{"formattedCitation":"(2012)","plainTextFormattedCitation":"(2012)","previouslyFormattedCitation":"(2012)"},"properties":{"noteIndex":0},"schema":"https://github.com/citation-style-language/schema/raw/master/csl-citation.json"}</w:instrText>
      </w:r>
      <w:r w:rsidR="00FE563F">
        <w:rPr>
          <w:rFonts w:eastAsia="Times New Roman" w:cstheme="minorHAnsi"/>
          <w:color w:val="000000" w:themeColor="text1"/>
        </w:rPr>
        <w:fldChar w:fldCharType="separate"/>
      </w:r>
      <w:r w:rsidR="00FE563F" w:rsidRPr="00FE563F">
        <w:rPr>
          <w:rFonts w:eastAsia="Times New Roman" w:cstheme="minorHAnsi"/>
          <w:noProof/>
          <w:color w:val="000000" w:themeColor="text1"/>
        </w:rPr>
        <w:t>(2012)</w:t>
      </w:r>
      <w:r w:rsidR="00FE563F">
        <w:rPr>
          <w:rFonts w:eastAsia="Times New Roman" w:cstheme="minorHAnsi"/>
          <w:color w:val="000000" w:themeColor="text1"/>
        </w:rPr>
        <w:fldChar w:fldCharType="end"/>
      </w:r>
      <w:r w:rsidR="00FE563F">
        <w:rPr>
          <w:rFonts w:eastAsia="Times New Roman" w:cstheme="minorHAnsi"/>
          <w:color w:val="000000" w:themeColor="text1"/>
        </w:rPr>
        <w:t xml:space="preserve">. </w:t>
      </w:r>
      <w:r>
        <w:rPr>
          <w:rFonts w:eastAsia="Times New Roman" w:cstheme="minorHAnsi"/>
          <w:color w:val="000000" w:themeColor="text1"/>
        </w:rPr>
        <w:t xml:space="preserve">SNP calling was completed with the TASSEL v2 GBS pipeline </w:t>
      </w:r>
      <w:r>
        <w:rPr>
          <w:rFonts w:eastAsia="Times New Roman" w:cstheme="minorHAnsi"/>
          <w:color w:val="000000" w:themeColor="text1"/>
        </w:rPr>
        <w:fldChar w:fldCharType="begin" w:fldLock="1"/>
      </w:r>
      <w:r w:rsidR="00FE563F">
        <w:rPr>
          <w:rFonts w:eastAsia="Times New Roman" w:cstheme="minorHAnsi"/>
          <w:color w:val="000000" w:themeColor="text1"/>
        </w:rPr>
        <w:instrText>ADDIN CSL_CITATION {"citationItems":[{"id":"ITEM-1","itemData":{"DOI":"10.1371/journal.pone.0090346","ISBN":"1932-6203 (Electronic) 1932-6203 (Linking)","ISSN":"19326203","PMID":"24587335","abstract":"Genotyping by sequencing (GBS) is a next generation sequencing based method that takes advantage of reduced representation to enable high throughput genotyping of large numbers of individuals at a large number of SNP markers. The relatively straightforward, robust, and cost-effective GBS protocol is currently being applied in numerous species by a large number of researchers. Herein we describe a bioinformatics pipeline, TASSEL-GBS, designed for the efficient processing of raw GBS sequence data into SNP genotypes. The TASSEL-GBS pipeline successfully fulfills the following key design criteria: (1) Ability to run on the modest computing resources that are typically available to small breeding or ecological research programs, including desktop or laptop machines with only 8-16 GB of RAM, (2) Scalability from small to extremely large studies, where hundreds of thousands or even millions of SNPs can be scored in up to 100,000 individuals (e.g., for large breeding programs or genetic surveys), and (3) Applicability in an accelerated breeding context, requiring rapid turnover from tissue collection to genotypes. Although a reference genome is required, the pipeline can also be run with an unfinished \"pseudo-reference\" consisting of numerous contigs. We describe the TASSEL-GBS pipeline in detail and benchmark it based upon a large scale, species wide analysis in maize (Zea mays), where the average error rate was reduced to 0.0042 through application of population genetic-based SNP filters. Overall, the GBS assay and the TASSEL-GBS pipeline provide robust tools for studying genomic diversity.","author":[{"dropping-particle":"","family":"Glaubitz","given":"Jeffrey C. JC","non-dropping-particle":"","parse-names":false,"suffix":""},{"dropping-particle":"","family":"Casstevens","given":"Terry M. TM","non-dropping-particle":"","parse-names":false,"suffix":""},{"dropping-particle":"","family":"Lu","given":"Fei","non-dropping-particle":"","parse-names":false,"suffix":""},{"dropping-particle":"","family":"Harriman","given":"James","non-dropping-particle":"","parse-names":false,"suffix":""},{"dropping-particle":"","family":"Elshire","given":"RJ Robert J.","non-dropping-particle":"","parse-names":false,"suffix":""},{"dropping-particle":"","family":"Sun","given":"Qi","non-dropping-particle":"","parse-names":false,"suffix":""},{"dropping-particle":"","family":"Buckler","given":"Edward S.","non-dropping-particle":"","parse-names":false,"suffix":""}],"container-title":"PLoS ONE","id":"ITEM-1","issue":"2","issued":{"date-parts":[["2014"]]},"page":"e90346","title":"TASSEL-GBS: A high capacity genotyping by sequencing analysis pipeline","type":"article-journal","volume":"9"},"uris":["http://www.mendeley.com/documents/?uuid=a8b4418b-7ef6-428b-95b5-d75b81998693"]}],"mendeley":{"formattedCitation":"(Glaubitz et al., 2014)","plainTextFormattedCitation":"(Glaubitz et al., 2014)","previouslyFormattedCitation":"(Glaubitz et al., 2014)"},"properties":{"noteIndex":0},"schema":"https://github.com/citation-style-language/schema/raw/master/csl-citation.json"}</w:instrText>
      </w:r>
      <w:r>
        <w:rPr>
          <w:rFonts w:eastAsia="Times New Roman" w:cstheme="minorHAnsi"/>
          <w:color w:val="000000" w:themeColor="text1"/>
        </w:rPr>
        <w:fldChar w:fldCharType="separate"/>
      </w:r>
      <w:r w:rsidRPr="00D35081">
        <w:rPr>
          <w:rFonts w:eastAsia="Times New Roman" w:cstheme="minorHAnsi"/>
          <w:noProof/>
          <w:color w:val="000000" w:themeColor="text1"/>
        </w:rPr>
        <w:t>(Glaubitz et al., 2014)</w:t>
      </w:r>
      <w:r>
        <w:rPr>
          <w:rFonts w:eastAsia="Times New Roman" w:cstheme="minorHAnsi"/>
          <w:color w:val="000000" w:themeColor="text1"/>
        </w:rPr>
        <w:fldChar w:fldCharType="end"/>
      </w:r>
      <w:r w:rsidR="00FF0872">
        <w:rPr>
          <w:rFonts w:eastAsia="Times New Roman" w:cstheme="minorHAnsi"/>
          <w:color w:val="000000" w:themeColor="text1"/>
        </w:rPr>
        <w:t xml:space="preserve"> using the IWG reference genome (access provided by the </w:t>
      </w:r>
      <w:proofErr w:type="spellStart"/>
      <w:r w:rsidR="00FF0872">
        <w:rPr>
          <w:rFonts w:eastAsia="Times New Roman" w:cstheme="minorHAnsi"/>
          <w:i/>
          <w:iCs/>
          <w:color w:val="000000" w:themeColor="text1"/>
        </w:rPr>
        <w:t>Thinopyrum</w:t>
      </w:r>
      <w:proofErr w:type="spellEnd"/>
      <w:r w:rsidR="00FF0872">
        <w:rPr>
          <w:rFonts w:eastAsia="Times New Roman" w:cstheme="minorHAnsi"/>
          <w:i/>
          <w:iCs/>
          <w:color w:val="000000" w:themeColor="text1"/>
        </w:rPr>
        <w:t xml:space="preserve"> intermedium </w:t>
      </w:r>
      <w:r w:rsidR="00FF0872">
        <w:rPr>
          <w:rFonts w:eastAsia="Times New Roman" w:cstheme="minorHAnsi"/>
          <w:color w:val="000000" w:themeColor="text1"/>
        </w:rPr>
        <w:t>Genome Sequencing Consortium</w:t>
      </w:r>
      <w:r w:rsidR="003F3F91">
        <w:rPr>
          <w:rFonts w:eastAsia="Times New Roman" w:cstheme="minorHAnsi"/>
          <w:color w:val="000000" w:themeColor="text1"/>
        </w:rPr>
        <w:t xml:space="preserve">, </w:t>
      </w:r>
      <w:r w:rsidR="003F3F91" w:rsidRPr="003F3F91">
        <w:rPr>
          <w:rFonts w:eastAsia="Times New Roman" w:cstheme="minorHAnsi"/>
          <w:color w:val="000000" w:themeColor="text1"/>
        </w:rPr>
        <w:t>https://phytozome-next.jgi.doe.gov/info/Tintermedium_v2_1</w:t>
      </w:r>
      <w:r w:rsidR="00FF0872">
        <w:rPr>
          <w:rFonts w:eastAsia="Times New Roman" w:cstheme="minorHAnsi"/>
          <w:color w:val="000000" w:themeColor="text1"/>
        </w:rPr>
        <w:t xml:space="preserve">) </w:t>
      </w:r>
      <w:r>
        <w:rPr>
          <w:rFonts w:eastAsia="Times New Roman" w:cstheme="minorHAnsi"/>
          <w:color w:val="000000" w:themeColor="text1"/>
        </w:rPr>
        <w:t xml:space="preserve">. </w:t>
      </w:r>
      <w:r w:rsidR="00FE563F">
        <w:rPr>
          <w:rFonts w:eastAsia="Times New Roman" w:cstheme="minorHAnsi"/>
          <w:color w:val="000000" w:themeColor="text1"/>
        </w:rPr>
        <w:t xml:space="preserve">Filtering was completed using </w:t>
      </w:r>
      <w:proofErr w:type="spellStart"/>
      <w:r w:rsidR="006C04FE">
        <w:rPr>
          <w:rFonts w:eastAsia="Times New Roman" w:cstheme="minorHAnsi"/>
          <w:color w:val="000000" w:themeColor="text1"/>
        </w:rPr>
        <w:t>VCFtools</w:t>
      </w:r>
      <w:proofErr w:type="spellEnd"/>
      <w:r w:rsidR="006C04FE">
        <w:rPr>
          <w:rFonts w:eastAsia="Times New Roman" w:cstheme="minorHAnsi"/>
          <w:color w:val="000000" w:themeColor="text1"/>
        </w:rPr>
        <w:t xml:space="preserve"> </w:t>
      </w:r>
      <w:r w:rsidR="006C04FE">
        <w:rPr>
          <w:rFonts w:eastAsia="Times New Roman" w:cstheme="minorHAnsi"/>
          <w:color w:val="000000" w:themeColor="text1"/>
        </w:rPr>
        <w:fldChar w:fldCharType="begin" w:fldLock="1"/>
      </w:r>
      <w:r w:rsidR="006C04FE">
        <w:rPr>
          <w:rFonts w:eastAsia="Times New Roman" w:cstheme="minorHAnsi"/>
          <w:color w:val="000000" w:themeColor="text1"/>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VCFtools","type":"article-journal","volume":"27"},"uris":["http://www.mendeley.com/documents/?uuid=3c57ae35-81bb-4f60-95ba-e5ee8a5fa207"]}],"mendeley":{"formattedCitation":"(Danecek et al., 2011)","plainTextFormattedCitation":"(Danecek et al., 2011)","previouslyFormattedCitation":"(Danecek et al., 2011)"},"properties":{"noteIndex":0},"schema":"https://github.com/citation-style-language/schema/raw/master/csl-citation.json"}</w:instrText>
      </w:r>
      <w:r w:rsidR="006C04FE">
        <w:rPr>
          <w:rFonts w:eastAsia="Times New Roman" w:cstheme="minorHAnsi"/>
          <w:color w:val="000000" w:themeColor="text1"/>
        </w:rPr>
        <w:fldChar w:fldCharType="separate"/>
      </w:r>
      <w:r w:rsidR="006C04FE" w:rsidRPr="006C04FE">
        <w:rPr>
          <w:rFonts w:eastAsia="Times New Roman" w:cstheme="minorHAnsi"/>
          <w:noProof/>
          <w:color w:val="000000" w:themeColor="text1"/>
        </w:rPr>
        <w:t>(Danecek et al., 2011)</w:t>
      </w:r>
      <w:r w:rsidR="006C04FE">
        <w:rPr>
          <w:rFonts w:eastAsia="Times New Roman" w:cstheme="minorHAnsi"/>
          <w:color w:val="000000" w:themeColor="text1"/>
        </w:rPr>
        <w:fldChar w:fldCharType="end"/>
      </w:r>
      <w:r w:rsidR="006C04FE">
        <w:rPr>
          <w:rFonts w:eastAsia="Times New Roman" w:cstheme="minorHAnsi"/>
          <w:color w:val="000000" w:themeColor="text1"/>
        </w:rPr>
        <w:t xml:space="preserve"> and custom scripts that </w:t>
      </w:r>
      <w:r w:rsidR="00BA5BD8">
        <w:rPr>
          <w:rFonts w:eastAsia="Times New Roman" w:cstheme="minorHAnsi"/>
          <w:color w:val="000000" w:themeColor="text1"/>
        </w:rPr>
        <w:t xml:space="preserve">insured all SNPs </w:t>
      </w:r>
      <w:r w:rsidR="006C04FE">
        <w:rPr>
          <w:rFonts w:eastAsia="Times New Roman" w:cstheme="minorHAnsi"/>
          <w:color w:val="000000" w:themeColor="text1"/>
        </w:rPr>
        <w:t xml:space="preserve">1). </w:t>
      </w:r>
      <w:r w:rsidR="00BA5BD8">
        <w:rPr>
          <w:rFonts w:eastAsia="Times New Roman" w:cstheme="minorHAnsi"/>
          <w:color w:val="000000" w:themeColor="text1"/>
        </w:rPr>
        <w:t>Maintained</w:t>
      </w:r>
      <w:r w:rsidR="006C04FE">
        <w:rPr>
          <w:rFonts w:eastAsia="Times New Roman" w:cstheme="minorHAnsi"/>
          <w:color w:val="000000" w:themeColor="text1"/>
        </w:rPr>
        <w:t xml:space="preserve"> </w:t>
      </w:r>
      <w:r w:rsidR="00BA5BD8">
        <w:rPr>
          <w:rFonts w:eastAsia="Times New Roman" w:cstheme="minorHAnsi"/>
          <w:color w:val="000000" w:themeColor="text1"/>
        </w:rPr>
        <w:t xml:space="preserve">a </w:t>
      </w:r>
      <w:r w:rsidR="006C04FE">
        <w:rPr>
          <w:rFonts w:eastAsia="Times New Roman" w:cstheme="minorHAnsi"/>
          <w:color w:val="000000" w:themeColor="text1"/>
        </w:rPr>
        <w:t xml:space="preserve">minor allele frequency greater than 0.05. 2). </w:t>
      </w:r>
      <w:r w:rsidR="00BA5BD8">
        <w:rPr>
          <w:rFonts w:eastAsia="Times New Roman" w:cstheme="minorHAnsi"/>
          <w:color w:val="000000" w:themeColor="text1"/>
        </w:rPr>
        <w:t>Allowed less</w:t>
      </w:r>
      <w:r w:rsidR="006C04FE">
        <w:rPr>
          <w:rFonts w:eastAsia="Times New Roman" w:cstheme="minorHAnsi"/>
          <w:color w:val="000000" w:themeColor="text1"/>
        </w:rPr>
        <w:t xml:space="preserve"> than 1% missing genotypes per</w:t>
      </w:r>
      <w:r w:rsidR="00BA5BD8">
        <w:rPr>
          <w:rFonts w:eastAsia="Times New Roman" w:cstheme="minorHAnsi"/>
          <w:color w:val="000000" w:themeColor="text1"/>
        </w:rPr>
        <w:t xml:space="preserve"> </w:t>
      </w:r>
      <w:r w:rsidR="006C04FE">
        <w:rPr>
          <w:rFonts w:eastAsia="Times New Roman" w:cstheme="minorHAnsi"/>
          <w:color w:val="000000" w:themeColor="text1"/>
        </w:rPr>
        <w:t xml:space="preserve">marker. 3). Aligned to exactly one location in the genome. 4). </w:t>
      </w:r>
      <w:r w:rsidR="00BA5BD8">
        <w:rPr>
          <w:rFonts w:eastAsia="Times New Roman" w:cstheme="minorHAnsi"/>
          <w:color w:val="000000" w:themeColor="text1"/>
        </w:rPr>
        <w:t xml:space="preserve">Required </w:t>
      </w:r>
      <w:r w:rsidR="006C04FE">
        <w:rPr>
          <w:rFonts w:eastAsia="Times New Roman" w:cstheme="minorHAnsi"/>
          <w:color w:val="000000" w:themeColor="text1"/>
        </w:rPr>
        <w:t xml:space="preserve">SNPs </w:t>
      </w:r>
      <w:r w:rsidR="00BA5BD8">
        <w:rPr>
          <w:rFonts w:eastAsia="Times New Roman" w:cstheme="minorHAnsi"/>
          <w:color w:val="000000" w:themeColor="text1"/>
        </w:rPr>
        <w:t>to</w:t>
      </w:r>
      <w:r w:rsidR="006C04FE">
        <w:rPr>
          <w:rFonts w:eastAsia="Times New Roman" w:cstheme="minorHAnsi"/>
          <w:color w:val="000000" w:themeColor="text1"/>
        </w:rPr>
        <w:t xml:space="preserve"> be biallelic, </w:t>
      </w:r>
      <w:proofErr w:type="spellStart"/>
      <w:r w:rsidR="006C04FE">
        <w:rPr>
          <w:rFonts w:eastAsia="Times New Roman" w:cstheme="minorHAnsi"/>
          <w:color w:val="000000" w:themeColor="text1"/>
        </w:rPr>
        <w:t>triallelic</w:t>
      </w:r>
      <w:proofErr w:type="spellEnd"/>
      <w:r w:rsidR="006C04FE">
        <w:rPr>
          <w:rFonts w:eastAsia="Times New Roman" w:cstheme="minorHAnsi"/>
          <w:color w:val="000000" w:themeColor="text1"/>
        </w:rPr>
        <w:t xml:space="preserve"> or presence/absence were discarded. 5.) </w:t>
      </w:r>
      <w:r w:rsidR="00BA5BD8">
        <w:rPr>
          <w:rFonts w:eastAsia="Times New Roman" w:cstheme="minorHAnsi"/>
          <w:color w:val="000000" w:themeColor="text1"/>
        </w:rPr>
        <w:t>Required l</w:t>
      </w:r>
      <w:r w:rsidR="006C04FE">
        <w:rPr>
          <w:rFonts w:eastAsia="Times New Roman" w:cstheme="minorHAnsi"/>
          <w:color w:val="000000" w:themeColor="text1"/>
        </w:rPr>
        <w:t xml:space="preserve">ess than 30% heterozygosity per loci across all individuals. 6). </w:t>
      </w:r>
      <w:r w:rsidR="00BA5BD8">
        <w:rPr>
          <w:rFonts w:eastAsia="Times New Roman" w:cstheme="minorHAnsi"/>
          <w:color w:val="000000" w:themeColor="text1"/>
        </w:rPr>
        <w:t>Insured that h</w:t>
      </w:r>
      <w:r w:rsidR="006C04FE">
        <w:rPr>
          <w:rFonts w:eastAsia="Times New Roman" w:cstheme="minorHAnsi"/>
          <w:color w:val="000000" w:themeColor="text1"/>
        </w:rPr>
        <w:t xml:space="preserve">omozygous SNPs were required to have a read depth of four, while </w:t>
      </w:r>
      <w:proofErr w:type="spellStart"/>
      <w:r w:rsidR="006C04FE">
        <w:rPr>
          <w:rFonts w:eastAsia="Times New Roman" w:cstheme="minorHAnsi"/>
          <w:color w:val="000000" w:themeColor="text1"/>
        </w:rPr>
        <w:t>heterozgyous</w:t>
      </w:r>
      <w:proofErr w:type="spellEnd"/>
      <w:r w:rsidR="006C04FE">
        <w:rPr>
          <w:rFonts w:eastAsia="Times New Roman" w:cstheme="minorHAnsi"/>
          <w:color w:val="000000" w:themeColor="text1"/>
        </w:rPr>
        <w:t xml:space="preserve"> SNP</w:t>
      </w:r>
      <w:r w:rsidR="00BA5BD8">
        <w:rPr>
          <w:rFonts w:eastAsia="Times New Roman" w:cstheme="minorHAnsi"/>
          <w:color w:val="000000" w:themeColor="text1"/>
        </w:rPr>
        <w:t>s</w:t>
      </w:r>
      <w:r w:rsidR="006C04FE">
        <w:rPr>
          <w:rFonts w:eastAsia="Times New Roman" w:cstheme="minorHAnsi"/>
          <w:color w:val="000000" w:themeColor="text1"/>
        </w:rPr>
        <w:t xml:space="preserve"> could be called with two contrasting tags. This filtering strategy resulted in 2,303 SNP to use for parentage analysis. Paternity was assigned using Cervus 3.0.7 </w:t>
      </w:r>
      <w:r w:rsidR="006C04FE">
        <w:rPr>
          <w:rFonts w:eastAsia="Times New Roman" w:cstheme="minorHAnsi"/>
          <w:color w:val="000000" w:themeColor="text1"/>
        </w:rPr>
        <w:fldChar w:fldCharType="begin" w:fldLock="1"/>
      </w:r>
      <w:r w:rsidR="00BA5BD8">
        <w:rPr>
          <w:rFonts w:eastAsia="Times New Roman" w:cstheme="minorHAnsi"/>
          <w:color w:val="000000" w:themeColor="text1"/>
        </w:rPr>
        <w:instrText>ADDIN CSL_CITATION {"citationItems":[{"id":"ITEM-1","itemData":{"DOI":"10.1111/j.1365-294X.2007.03089.x","ISBN":"0962-1083","ISSN":"09621083","PMID":"17305863","abstract":"Genotypes are frequently used to identify parentage. Such analysis is notoriously vulnerable to genotyping error, and there is ongoing debate regarding how to solve this problem. Many scientists have used the computer program CERVUS to estimate parentage, and have taken advantage of its option to allow for genotyping error. In this study, we show that the likelihood equations used by versions 1.0 and 2.0 of CERVUS to accommodate genotyping error miscalculate the probability of observing an erroneous genotype. Computer simulation and reanalysis of paternity in Rum red deer show that correcting this error increases success in paternity assignment, and that there is a clear benefit to accommodating genotyping errors when errors are present. A new version of CERVUS (3.0) implementing the corrected likelihood equations is available at http://www.fieldgenetics.com.","author":[{"dropping-particle":"","family":"Kalinowski","given":"Steven T.","non-dropping-particle":"","parse-names":false,"suffix":""},{"dropping-particle":"","family":"Taper","given":"Mark L.","non-dropping-particle":"","parse-names":false,"suffix":""},{"dropping-particle":"","family":"Marshall","given":"Tristan C.","non-dropping-particle":"","parse-names":false,"suffix":""}],"container-title":"Molecular Ecology","id":"ITEM-1","issue":"5","issued":{"date-parts":[["2007"]]},"page":"1099-1106","title":"Revising how the computer program CERVUS accommodates genotyping error increases success in paternity assignment","type":"article-journal","volume":"16"},"uris":["http://www.mendeley.com/documents/?uuid=dfac7751-9032-4219-b12f-1f003f45de20"]}],"mendeley":{"formattedCitation":"(Kalinowski et al., 2007)","plainTextFormattedCitation":"(Kalinowski et al., 2007)","previouslyFormattedCitation":"(Kalinowski et al., 2007)"},"properties":{"noteIndex":0},"schema":"https://github.com/citation-style-language/schema/raw/master/csl-citation.json"}</w:instrText>
      </w:r>
      <w:r w:rsidR="006C04FE">
        <w:rPr>
          <w:rFonts w:eastAsia="Times New Roman" w:cstheme="minorHAnsi"/>
          <w:color w:val="000000" w:themeColor="text1"/>
        </w:rPr>
        <w:fldChar w:fldCharType="separate"/>
      </w:r>
      <w:r w:rsidR="006C04FE" w:rsidRPr="006C04FE">
        <w:rPr>
          <w:rFonts w:eastAsia="Times New Roman" w:cstheme="minorHAnsi"/>
          <w:noProof/>
          <w:color w:val="000000" w:themeColor="text1"/>
        </w:rPr>
        <w:t>(Kalinowski et al., 2007)</w:t>
      </w:r>
      <w:r w:rsidR="006C04FE">
        <w:rPr>
          <w:rFonts w:eastAsia="Times New Roman" w:cstheme="minorHAnsi"/>
          <w:color w:val="000000" w:themeColor="text1"/>
        </w:rPr>
        <w:fldChar w:fldCharType="end"/>
      </w:r>
      <w:r w:rsidR="00BB3557">
        <w:rPr>
          <w:rFonts w:eastAsia="Times New Roman" w:cstheme="minorHAnsi"/>
          <w:color w:val="000000" w:themeColor="text1"/>
        </w:rPr>
        <w:t xml:space="preserve"> where the following parameters were used</w:t>
      </w:r>
      <w:r w:rsidR="00BA5BD8">
        <w:rPr>
          <w:rFonts w:eastAsia="Times New Roman" w:cstheme="minorHAnsi"/>
          <w:color w:val="000000" w:themeColor="text1"/>
        </w:rPr>
        <w:t>:</w:t>
      </w:r>
      <w:r w:rsidR="00BB3557">
        <w:rPr>
          <w:rFonts w:eastAsia="Times New Roman" w:cstheme="minorHAnsi"/>
          <w:color w:val="000000" w:themeColor="text1"/>
        </w:rPr>
        <w:t xml:space="preserve"> a minimum of 300 typed loci were required, 250,000 progeny were simulated, and a test for self-fertilization was completed. All other parameters were maintained at the default value, with paternity assignment being completed at the 95% confidence level.</w:t>
      </w:r>
      <w:r w:rsidR="006C04FE">
        <w:rPr>
          <w:rFonts w:eastAsia="Times New Roman" w:cstheme="minorHAnsi"/>
          <w:color w:val="000000" w:themeColor="text1"/>
        </w:rPr>
        <w:t xml:space="preserve"> </w:t>
      </w:r>
      <w:r w:rsidR="00BB3557">
        <w:rPr>
          <w:rFonts w:eastAsia="Times New Roman" w:cstheme="minorHAnsi"/>
          <w:color w:val="000000" w:themeColor="text1"/>
        </w:rPr>
        <w:t xml:space="preserve">The </w:t>
      </w:r>
      <w:proofErr w:type="spellStart"/>
      <w:r w:rsidR="00BA5BD8">
        <w:rPr>
          <w:rFonts w:eastAsia="Times New Roman" w:cstheme="minorHAnsi"/>
          <w:i/>
          <w:iCs/>
          <w:color w:val="000000" w:themeColor="text1"/>
        </w:rPr>
        <w:t>visPedigree</w:t>
      </w:r>
      <w:proofErr w:type="spellEnd"/>
      <w:r w:rsidR="00BA5BD8">
        <w:rPr>
          <w:rFonts w:eastAsia="Times New Roman" w:cstheme="minorHAnsi"/>
          <w:color w:val="000000" w:themeColor="text1"/>
        </w:rPr>
        <w:t xml:space="preserve"> R package was used to create pedigree diagrams </w:t>
      </w:r>
      <w:r w:rsidR="00BA5BD8">
        <w:rPr>
          <w:rFonts w:eastAsia="Times New Roman" w:cstheme="minorHAnsi"/>
          <w:color w:val="000000" w:themeColor="text1"/>
        </w:rPr>
        <w:fldChar w:fldCharType="begin" w:fldLock="1"/>
      </w:r>
      <w:r w:rsidR="00BA5BD8">
        <w:rPr>
          <w:rFonts w:eastAsia="Times New Roman" w:cstheme="minorHAnsi"/>
          <w:color w:val="000000" w:themeColor="text1"/>
        </w:rPr>
        <w:instrText>ADDIN CSL_CITATION {"citationItems":[{"id":"ITEM-1","itemData":{"author":[{"dropping-particle":"","family":"Luan","given":"Sheng","non-dropping-particle":"","parse-names":false,"suffix":""}],"id":"ITEM-1","issued":{"date-parts":[["2020"]]},"note":"R package version 0.2.4","title":"visPedigree: Tidying and visualization for animal pedigree","type":"article"},"uris":["http://www.mendeley.com/documents/?uuid=4362132b-f950-4aa4-856d-a00c411e16b9"]}],"mendeley":{"formattedCitation":"(Luan, 2020)","plainTextFormattedCitation":"(Luan, 2020)","previouslyFormattedCitation":"(Luan, 2020)"},"properties":{"noteIndex":0},"schema":"https://github.com/citation-style-language/schema/raw/master/csl-citation.json"}</w:instrText>
      </w:r>
      <w:r w:rsidR="00BA5BD8">
        <w:rPr>
          <w:rFonts w:eastAsia="Times New Roman" w:cstheme="minorHAnsi"/>
          <w:color w:val="000000" w:themeColor="text1"/>
        </w:rPr>
        <w:fldChar w:fldCharType="separate"/>
      </w:r>
      <w:r w:rsidR="00BA5BD8" w:rsidRPr="00BA5BD8">
        <w:rPr>
          <w:rFonts w:eastAsia="Times New Roman" w:cstheme="minorHAnsi"/>
          <w:noProof/>
          <w:color w:val="000000" w:themeColor="text1"/>
        </w:rPr>
        <w:t>(Luan, 2020)</w:t>
      </w:r>
      <w:r w:rsidR="00BA5BD8">
        <w:rPr>
          <w:rFonts w:eastAsia="Times New Roman" w:cstheme="minorHAnsi"/>
          <w:color w:val="000000" w:themeColor="text1"/>
        </w:rPr>
        <w:fldChar w:fldCharType="end"/>
      </w:r>
      <w:r w:rsidR="00BA5BD8">
        <w:rPr>
          <w:rFonts w:eastAsia="Times New Roman" w:cstheme="minorHAnsi"/>
          <w:color w:val="000000" w:themeColor="text1"/>
        </w:rPr>
        <w:t>.</w:t>
      </w:r>
    </w:p>
    <w:p w14:paraId="07058395" w14:textId="799594DC" w:rsidR="00FE563F" w:rsidRDefault="00FE563F" w:rsidP="00D35081">
      <w:pPr>
        <w:rPr>
          <w:rFonts w:eastAsia="Times New Roman" w:cstheme="minorHAnsi"/>
          <w:color w:val="000000" w:themeColor="text1"/>
        </w:rPr>
      </w:pPr>
    </w:p>
    <w:p w14:paraId="5122B375" w14:textId="2AA93F26" w:rsidR="00BA5BD8" w:rsidRPr="00BA5BD8" w:rsidRDefault="00FE563F" w:rsidP="00BA5BD8">
      <w:pPr>
        <w:widowControl w:val="0"/>
        <w:autoSpaceDE w:val="0"/>
        <w:autoSpaceDN w:val="0"/>
        <w:adjustRightInd w:val="0"/>
        <w:ind w:left="480" w:hanging="480"/>
        <w:rPr>
          <w:rFonts w:ascii="Calibri" w:hAnsi="Calibri" w:cs="Calibri"/>
          <w:noProof/>
        </w:rPr>
      </w:pPr>
      <w:r>
        <w:rPr>
          <w:rFonts w:eastAsia="Times New Roman" w:cstheme="minorHAnsi"/>
        </w:rPr>
        <w:fldChar w:fldCharType="begin" w:fldLock="1"/>
      </w:r>
      <w:r>
        <w:rPr>
          <w:rFonts w:eastAsia="Times New Roman" w:cstheme="minorHAnsi"/>
        </w:rPr>
        <w:instrText xml:space="preserve">ADDIN Mendeley Bibliography CSL_BIBLIOGRAPHY </w:instrText>
      </w:r>
      <w:r>
        <w:rPr>
          <w:rFonts w:eastAsia="Times New Roman" w:cstheme="minorHAnsi"/>
        </w:rPr>
        <w:fldChar w:fldCharType="separate"/>
      </w:r>
      <w:r w:rsidR="00BA5BD8" w:rsidRPr="00BA5BD8">
        <w:rPr>
          <w:rFonts w:ascii="Calibri" w:hAnsi="Calibri" w:cs="Calibri"/>
          <w:noProof/>
        </w:rPr>
        <w:t xml:space="preserve">Danecek, P., Auton, A., Abecasis, G., Albers, C. A., Banks, E., DePristo, M. A., et al. (2011). The variant call format and VCFtools. </w:t>
      </w:r>
      <w:r w:rsidR="00BA5BD8" w:rsidRPr="00BA5BD8">
        <w:rPr>
          <w:rFonts w:ascii="Calibri" w:hAnsi="Calibri" w:cs="Calibri"/>
          <w:i/>
          <w:iCs/>
          <w:noProof/>
        </w:rPr>
        <w:t>Bioinformatics</w:t>
      </w:r>
      <w:r w:rsidR="00BA5BD8" w:rsidRPr="00BA5BD8">
        <w:rPr>
          <w:rFonts w:ascii="Calibri" w:hAnsi="Calibri" w:cs="Calibri"/>
          <w:noProof/>
        </w:rPr>
        <w:t xml:space="preserve"> 27, 2156–2158. doi:10.1093/bioinformatics/btr330.</w:t>
      </w:r>
    </w:p>
    <w:p w14:paraId="3B4B739C" w14:textId="77777777" w:rsidR="00BA5BD8" w:rsidRPr="00BA5BD8" w:rsidRDefault="00BA5BD8" w:rsidP="00BA5BD8">
      <w:pPr>
        <w:widowControl w:val="0"/>
        <w:autoSpaceDE w:val="0"/>
        <w:autoSpaceDN w:val="0"/>
        <w:adjustRightInd w:val="0"/>
        <w:ind w:left="480" w:hanging="480"/>
        <w:rPr>
          <w:rFonts w:ascii="Calibri" w:hAnsi="Calibri" w:cs="Calibri"/>
          <w:noProof/>
        </w:rPr>
      </w:pPr>
      <w:r w:rsidRPr="00BA5BD8">
        <w:rPr>
          <w:rFonts w:ascii="Calibri" w:hAnsi="Calibri" w:cs="Calibri"/>
          <w:noProof/>
        </w:rPr>
        <w:t xml:space="preserve">DeHaan, L., Christians, M., Crain, J., and Poland, J. (2018). Development and evolution of an intermediate wheatgrass domestication program. </w:t>
      </w:r>
      <w:r w:rsidRPr="00BA5BD8">
        <w:rPr>
          <w:rFonts w:ascii="Calibri" w:hAnsi="Calibri" w:cs="Calibri"/>
          <w:i/>
          <w:iCs/>
          <w:noProof/>
        </w:rPr>
        <w:t>Sustainability</w:t>
      </w:r>
      <w:r w:rsidRPr="00BA5BD8">
        <w:rPr>
          <w:rFonts w:ascii="Calibri" w:hAnsi="Calibri" w:cs="Calibri"/>
          <w:noProof/>
        </w:rPr>
        <w:t>, 1–19. doi:10.3390/su10051499.</w:t>
      </w:r>
    </w:p>
    <w:p w14:paraId="589EF4EC" w14:textId="77777777" w:rsidR="00BA5BD8" w:rsidRPr="00BA5BD8" w:rsidRDefault="00BA5BD8" w:rsidP="00BA5BD8">
      <w:pPr>
        <w:widowControl w:val="0"/>
        <w:autoSpaceDE w:val="0"/>
        <w:autoSpaceDN w:val="0"/>
        <w:adjustRightInd w:val="0"/>
        <w:ind w:left="480" w:hanging="480"/>
        <w:rPr>
          <w:rFonts w:ascii="Calibri" w:hAnsi="Calibri" w:cs="Calibri"/>
          <w:noProof/>
        </w:rPr>
      </w:pPr>
      <w:r w:rsidRPr="00BA5BD8">
        <w:rPr>
          <w:rFonts w:ascii="Calibri" w:hAnsi="Calibri" w:cs="Calibri"/>
          <w:noProof/>
        </w:rPr>
        <w:t xml:space="preserve">Glaubitz, J. C. J., Casstevens, T. M. T., Lu, F., Harriman, J., Elshire, R. R. J., Sun, Q., et al. (2014). TASSEL-GBS: A high capacity genotyping by sequencing analysis pipeline. </w:t>
      </w:r>
      <w:r w:rsidRPr="00BA5BD8">
        <w:rPr>
          <w:rFonts w:ascii="Calibri" w:hAnsi="Calibri" w:cs="Calibri"/>
          <w:i/>
          <w:iCs/>
          <w:noProof/>
        </w:rPr>
        <w:t>PLoS One</w:t>
      </w:r>
      <w:r w:rsidRPr="00BA5BD8">
        <w:rPr>
          <w:rFonts w:ascii="Calibri" w:hAnsi="Calibri" w:cs="Calibri"/>
          <w:noProof/>
        </w:rPr>
        <w:t xml:space="preserve"> 9, e90346. doi:10.1371/journal.pone.0090346.</w:t>
      </w:r>
    </w:p>
    <w:p w14:paraId="6526E5FD" w14:textId="77777777" w:rsidR="00BA5BD8" w:rsidRPr="00BA5BD8" w:rsidRDefault="00BA5BD8" w:rsidP="00BA5BD8">
      <w:pPr>
        <w:widowControl w:val="0"/>
        <w:autoSpaceDE w:val="0"/>
        <w:autoSpaceDN w:val="0"/>
        <w:adjustRightInd w:val="0"/>
        <w:ind w:left="480" w:hanging="480"/>
        <w:rPr>
          <w:rFonts w:ascii="Calibri" w:hAnsi="Calibri" w:cs="Calibri"/>
          <w:noProof/>
        </w:rPr>
      </w:pPr>
      <w:r w:rsidRPr="00BA5BD8">
        <w:rPr>
          <w:rFonts w:ascii="Calibri" w:hAnsi="Calibri" w:cs="Calibri"/>
          <w:noProof/>
        </w:rPr>
        <w:t xml:space="preserve">Kalinowski, S. T., Taper, M. L., and Marshall, T. C. (2007). Revising how the computer program CERVUS accommodates genotyping error increases success in paternity assignment. </w:t>
      </w:r>
      <w:r w:rsidRPr="00BA5BD8">
        <w:rPr>
          <w:rFonts w:ascii="Calibri" w:hAnsi="Calibri" w:cs="Calibri"/>
          <w:i/>
          <w:iCs/>
          <w:noProof/>
        </w:rPr>
        <w:t>Mol. Ecol.</w:t>
      </w:r>
      <w:r w:rsidRPr="00BA5BD8">
        <w:rPr>
          <w:rFonts w:ascii="Calibri" w:hAnsi="Calibri" w:cs="Calibri"/>
          <w:noProof/>
        </w:rPr>
        <w:t xml:space="preserve"> 16, 1099–1106. doi:10.1111/j.1365-294X.2007.03089.x.</w:t>
      </w:r>
    </w:p>
    <w:p w14:paraId="2051F61A" w14:textId="77777777" w:rsidR="00BA5BD8" w:rsidRPr="00BA5BD8" w:rsidRDefault="00BA5BD8" w:rsidP="00BA5BD8">
      <w:pPr>
        <w:widowControl w:val="0"/>
        <w:autoSpaceDE w:val="0"/>
        <w:autoSpaceDN w:val="0"/>
        <w:adjustRightInd w:val="0"/>
        <w:ind w:left="480" w:hanging="480"/>
        <w:rPr>
          <w:rFonts w:ascii="Calibri" w:hAnsi="Calibri" w:cs="Calibri"/>
          <w:noProof/>
        </w:rPr>
      </w:pPr>
      <w:r w:rsidRPr="00BA5BD8">
        <w:rPr>
          <w:rFonts w:ascii="Calibri" w:hAnsi="Calibri" w:cs="Calibri"/>
          <w:noProof/>
        </w:rPr>
        <w:lastRenderedPageBreak/>
        <w:t>Luan, S. (2020). visPedigree: Tidying and visualization for animal pedigree. Available at: https://github.com/luansheng/visPedigree.</w:t>
      </w:r>
    </w:p>
    <w:p w14:paraId="035AF919" w14:textId="77777777" w:rsidR="00BA5BD8" w:rsidRPr="00BA5BD8" w:rsidRDefault="00BA5BD8" w:rsidP="00BA5BD8">
      <w:pPr>
        <w:widowControl w:val="0"/>
        <w:autoSpaceDE w:val="0"/>
        <w:autoSpaceDN w:val="0"/>
        <w:adjustRightInd w:val="0"/>
        <w:ind w:left="480" w:hanging="480"/>
        <w:rPr>
          <w:rFonts w:ascii="Calibri" w:hAnsi="Calibri" w:cs="Calibri"/>
          <w:noProof/>
        </w:rPr>
      </w:pPr>
      <w:r w:rsidRPr="00BA5BD8">
        <w:rPr>
          <w:rFonts w:ascii="Calibri" w:hAnsi="Calibri" w:cs="Calibri"/>
          <w:noProof/>
        </w:rPr>
        <w:t xml:space="preserve">Poland, J. A., Brown, P. J., Sorrells, M. E., and Jannink, J. L. (2012). Development of high-density genetic maps for barley and wheat using a novel two-enzyme genotyping-by-sequencing approach. </w:t>
      </w:r>
      <w:r w:rsidRPr="00BA5BD8">
        <w:rPr>
          <w:rFonts w:ascii="Calibri" w:hAnsi="Calibri" w:cs="Calibri"/>
          <w:i/>
          <w:iCs/>
          <w:noProof/>
        </w:rPr>
        <w:t>PLoS One</w:t>
      </w:r>
      <w:r w:rsidRPr="00BA5BD8">
        <w:rPr>
          <w:rFonts w:ascii="Calibri" w:hAnsi="Calibri" w:cs="Calibri"/>
          <w:noProof/>
        </w:rPr>
        <w:t xml:space="preserve"> 7. doi:10.1371/journal.pone.0032253.</w:t>
      </w:r>
    </w:p>
    <w:p w14:paraId="5412E9A8" w14:textId="77777777" w:rsidR="00BA5BD8" w:rsidRPr="00BA5BD8" w:rsidRDefault="00BA5BD8" w:rsidP="00BA5BD8">
      <w:pPr>
        <w:widowControl w:val="0"/>
        <w:autoSpaceDE w:val="0"/>
        <w:autoSpaceDN w:val="0"/>
        <w:adjustRightInd w:val="0"/>
        <w:ind w:left="480" w:hanging="480"/>
        <w:rPr>
          <w:rFonts w:ascii="Calibri" w:hAnsi="Calibri" w:cs="Calibri"/>
          <w:noProof/>
        </w:rPr>
      </w:pPr>
      <w:r w:rsidRPr="00BA5BD8">
        <w:rPr>
          <w:rFonts w:ascii="Calibri" w:hAnsi="Calibri" w:cs="Calibri"/>
          <w:noProof/>
        </w:rPr>
        <w:t xml:space="preserve">Zhang, X., Sallam, A., Gao, L., Kantarski, T., Poland, J., DeHaan, L. R., et al. (2016). Establishment and optimization of genomic selection to accelerate the domestication and improvement of intermediate wheatgrass. </w:t>
      </w:r>
      <w:r w:rsidRPr="00BA5BD8">
        <w:rPr>
          <w:rFonts w:ascii="Calibri" w:hAnsi="Calibri" w:cs="Calibri"/>
          <w:i/>
          <w:iCs/>
          <w:noProof/>
        </w:rPr>
        <w:t>Plant Genome</w:t>
      </w:r>
      <w:r w:rsidRPr="00BA5BD8">
        <w:rPr>
          <w:rFonts w:ascii="Calibri" w:hAnsi="Calibri" w:cs="Calibri"/>
          <w:noProof/>
        </w:rPr>
        <w:t xml:space="preserve"> 9, 1–18. doi:10.3835/plantgenome2015.07.0059.</w:t>
      </w:r>
    </w:p>
    <w:p w14:paraId="7A7CC2CA" w14:textId="749AA6FF" w:rsidR="00FE563F" w:rsidRPr="00D35081" w:rsidRDefault="00FE563F" w:rsidP="00BA5BD8">
      <w:pPr>
        <w:widowControl w:val="0"/>
        <w:autoSpaceDE w:val="0"/>
        <w:autoSpaceDN w:val="0"/>
        <w:adjustRightInd w:val="0"/>
        <w:ind w:left="480" w:hanging="480"/>
        <w:rPr>
          <w:rFonts w:eastAsia="Times New Roman" w:cstheme="minorHAnsi"/>
        </w:rPr>
      </w:pPr>
      <w:r>
        <w:rPr>
          <w:rFonts w:eastAsia="Times New Roman" w:cstheme="minorHAnsi"/>
        </w:rPr>
        <w:fldChar w:fldCharType="end"/>
      </w:r>
    </w:p>
    <w:p w14:paraId="3B62ABBF" w14:textId="75192B8E" w:rsidR="003C313C" w:rsidRDefault="003C313C"/>
    <w:sectPr w:rsidR="003C313C" w:rsidSect="00676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B2"/>
    <w:rsid w:val="002C21B2"/>
    <w:rsid w:val="003C313C"/>
    <w:rsid w:val="003F3F91"/>
    <w:rsid w:val="00676CD9"/>
    <w:rsid w:val="006C04FE"/>
    <w:rsid w:val="008C5732"/>
    <w:rsid w:val="00BA5BD8"/>
    <w:rsid w:val="00BB3557"/>
    <w:rsid w:val="00D12E7F"/>
    <w:rsid w:val="00D35081"/>
    <w:rsid w:val="00FE563F"/>
    <w:rsid w:val="00FF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4AE4"/>
  <w15:chartTrackingRefBased/>
  <w15:docId w15:val="{453D5571-32C6-BD43-BB64-266AAD2E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1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21B2"/>
    <w:rPr>
      <w:rFonts w:ascii="Times New Roman" w:hAnsi="Times New Roman" w:cs="Times New Roman"/>
      <w:sz w:val="18"/>
      <w:szCs w:val="18"/>
    </w:rPr>
  </w:style>
  <w:style w:type="character" w:styleId="Hyperlink">
    <w:name w:val="Hyperlink"/>
    <w:basedOn w:val="DefaultParagraphFont"/>
    <w:uiPriority w:val="99"/>
    <w:semiHidden/>
    <w:unhideWhenUsed/>
    <w:rsid w:val="00D350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713761">
      <w:bodyDiv w:val="1"/>
      <w:marLeft w:val="0"/>
      <w:marRight w:val="0"/>
      <w:marTop w:val="0"/>
      <w:marBottom w:val="0"/>
      <w:divBdr>
        <w:top w:val="none" w:sz="0" w:space="0" w:color="auto"/>
        <w:left w:val="none" w:sz="0" w:space="0" w:color="auto"/>
        <w:bottom w:val="none" w:sz="0" w:space="0" w:color="auto"/>
        <w:right w:val="none" w:sz="0" w:space="0" w:color="auto"/>
      </w:divBdr>
    </w:div>
    <w:div w:id="31931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ncbi.nlm.nih.gov/sra/SRX78141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FBA27-EB14-C94D-A437-5CBE21CCA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Crain</dc:creator>
  <cp:keywords/>
  <dc:description/>
  <cp:lastModifiedBy>Jared Crain</cp:lastModifiedBy>
  <cp:revision>5</cp:revision>
  <dcterms:created xsi:type="dcterms:W3CDTF">2020-06-13T23:49:00Z</dcterms:created>
  <dcterms:modified xsi:type="dcterms:W3CDTF">2020-06-14T00:37:00Z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http://www.zotero.org/styles/crop-science</vt:lpwstr>
  </property>
  <property fmtid="{D5CDD505-2E9C-101B-9397-08002B2CF9AE}" pid="13" name="Mendeley Recent Style Name 5_1">
    <vt:lpwstr>Crop Science</vt:lpwstr>
  </property>
  <property fmtid="{D5CDD505-2E9C-101B-9397-08002B2CF9AE}" pid="14" name="Mendeley Recent Style Id 6_1">
    <vt:lpwstr>http://www.zotero.org/styles/frontiers-in-plant-science</vt:lpwstr>
  </property>
  <property fmtid="{D5CDD505-2E9C-101B-9397-08002B2CF9AE}" pid="15" name="Mendeley Recent Style Name 6_1">
    <vt:lpwstr>Frontiers in Plant Science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http://www.zotero.org/styles/theoretical-and-applied-genetics</vt:lpwstr>
  </property>
  <property fmtid="{D5CDD505-2E9C-101B-9397-08002B2CF9AE}" pid="21" name="Mendeley Recent Style Name 9_1">
    <vt:lpwstr>Theoretical and Applied Genetics</vt:lpwstr>
  </property>
  <property fmtid="{D5CDD505-2E9C-101B-9397-08002B2CF9AE}" pid="22" name="Mendeley Document_1">
    <vt:lpwstr>True</vt:lpwstr>
  </property>
  <property fmtid="{D5CDD505-2E9C-101B-9397-08002B2CF9AE}" pid="23" name="Mendeley Unique User Id_1">
    <vt:lpwstr>10ee500f-f677-36a2-8ca1-26ad375ca45e</vt:lpwstr>
  </property>
  <property fmtid="{D5CDD505-2E9C-101B-9397-08002B2CF9AE}" pid="24" name="Mendeley Citation Style_1">
    <vt:lpwstr>http://www.zotero.org/styles/frontiers-in-plant-science</vt:lpwstr>
  </property>
</Properties>
</file>