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0C7E6B"/>
          <w:sz w:val="40"/>
          <w:rFonts w:ascii="Sora" w:hAnsi="Sora"/>
        </w:rPr>
        <w:t xml:space="preserve">KRAMA</w:t>
      </w:r>
      <w:r>
        <w:rPr>
          <w:color w:val="5C594F"/>
          <w:sz w:val="28"/>
          <w:rFonts w:ascii="Sora" w:hAnsi="Sora"/>
        </w:rPr>
        <w:t xml:space="preserve">  ·  Design System</w:t>
      </w:r>
    </w:p>
    <w:p>
      <w:pPr>
        <w:spacing w:after="60"/>
      </w:pPr>
      <w:r>
        <w:rPr>
          <w:b/>
          <w:color w:val="1C1B17"/>
          <w:sz w:val="72"/>
          <w:rFonts w:ascii="Sora" w:hAnsi="Sora"/>
        </w:rPr>
        <w:t xml:space="preserve">QUOTATION</w:t>
      </w:r>
    </w:p>
    <w:tbl>
      <w:tblPr>
        <w:tblW w:w="6600" w:type="dxa"/>
        <w:tblLayout w:type="fixed"/>
      </w:tblPr>
      <w:t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0"/>
                <w:caps/>
                <w:spacing w:val="12"/>
              </w:rPr>
              <w:t xml:space="preserve">Quotation no.</w:t>
            </w:r>
          </w:p>
        </w:tc>
        <w:tc>
          <w:tcPr>
            <w:tcW w:w="4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1C1B17"/>
                <w:sz w:val="22"/>
              </w:rPr>
              <w:t xml:space="preserve">KRM-Q-2026-0042</w:t>
            </w:r>
          </w:p>
        </w:tc>
      </w:tr>
      <w:t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0"/>
                <w:caps/>
                <w:spacing w:val="12"/>
              </w:rPr>
              <w:t xml:space="preserve">Date</w:t>
            </w:r>
          </w:p>
        </w:tc>
        <w:tc>
          <w:tcPr>
            <w:tcW w:w="4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1C1B17"/>
                <w:sz w:val="22"/>
              </w:rPr>
              <w:t xml:space="preserve">18 June 2026</w:t>
            </w:r>
          </w:p>
        </w:tc>
      </w:tr>
      <w:t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0"/>
                <w:caps/>
                <w:spacing w:val="12"/>
              </w:rPr>
              <w:t xml:space="preserve">Valid until</w:t>
            </w:r>
          </w:p>
        </w:tc>
        <w:tc>
          <w:tcPr>
            <w:tcW w:w="4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1C1B17"/>
                <w:sz w:val="22"/>
              </w:rPr>
              <w:t xml:space="preserve">18 July 2026</w:t>
            </w:r>
          </w:p>
        </w:tc>
      </w:tr>
      <w:tr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0"/>
                <w:caps/>
                <w:spacing w:val="12"/>
              </w:rPr>
              <w:t xml:space="preserve">Prepared for</w:t>
            </w:r>
          </w:p>
        </w:tc>
        <w:tc>
          <w:tcPr>
            <w:tcW w:w="4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1C1B17"/>
                <w:sz w:val="22"/>
              </w:rPr>
              <w:t xml:space="preserve">Prospective client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30"/>
      </w:pPr>
      <w:r>
        <w:rPr>
          <w:b/>
          <w:color w:val="1C1B17"/>
          <w:sz w:val="30"/>
          <w:rFonts w:ascii="Sora" w:hAnsi="Sora"/>
        </w:rPr>
        <w:t xml:space="preserve">Scope of delivery</w:t>
      </w:r>
    </w:p>
    <w:p>
      <w:pPr>
        <w:spacing w:after="120"/>
      </w:pPr>
      <w:r>
        <w:rPr>
          <w:color w:val="5C594F"/>
          <w:sz w:val="22"/>
        </w:rPr>
        <w:t xml:space="preserve">The Krama Design System — a complete, enterprise-grade brand and UI kit for a Southeast-Asia job portal, covering brand foundations, a reusable component library, and four fully designed product surfaces.</w:t>
      </w:r>
    </w:p>
    <w:tbl>
      <w:tblPr>
        <w:tblW w:w="9360" w:type="dxa"/>
        <w:tblLayout w:type="fixed"/>
        <w:tblBorders>
          <w:top w:val="single" w:sz="4" w:color="E5E3DD"/>
          <w:left w:val="single" w:sz="4" w:color="E5E3DD"/>
          <w:bottom w:val="single" w:sz="4" w:color="E5E3DD"/>
          <w:right w:val="single" w:sz="4" w:color="E5E3DD"/>
          <w:insideH w:val="single" w:sz="4" w:color="E5E3DD"/>
          <w:insideV w:val="single" w:sz="4" w:color="E5E3DD"/>
        </w:tblBorders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0C7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FFFFFF"/>
                <w:sz w:val="20"/>
                <w:caps/>
                <w:spacing w:val="14"/>
              </w:rPr>
              <w:t xml:space="preserve">Area</w:t>
            </w:r>
          </w:p>
        </w:tc>
        <w:tc>
          <w:tcPr>
            <w:tcW w:w="6360" w:type="dxa"/>
            <w:shd w:val="clear" w:fill="0C7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FFFFFF"/>
                <w:sz w:val="20"/>
                <w:caps/>
                <w:spacing w:val="14"/>
              </w:rPr>
              <w:t xml:space="preserve">Included</w:t>
            </w:r>
          </w:p>
        </w:tc>
      </w:tr>
      <w:tr>
        <w:tc>
          <w:tcPr>
            <w:tcW w:w="9360" w:type="dxa"/>
            <w:gridSpan w:val="2"/>
            <w:shd w:val="clear" w:fill="ECFBF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/>
            <w:r>
              <w:rPr>
                <w:b/>
                <w:color w:val="0C7E6B"/>
                <w:sz w:val="22"/>
                <w:rFonts w:ascii="Sora" w:hAnsi="Sora"/>
              </w:rPr>
              <w:t xml:space="preserve">Brand &amp; Foundations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Design tokens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Colors, typography, spacing, elevation &amp; motion as CSS custom properties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Brand identity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Krama logo, mark, on-dark variants &amp; woven-pattern motif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Typography system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Sora (display), Plus Jakarta Sans (UI), JetBrains Mono, Kantumruy Pro (Khmer)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Design System tab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20 specimen cards — color, type, spacing, brand</w:t>
            </w:r>
          </w:p>
        </w:tc>
      </w:tr>
      <w:tr>
        <w:tc>
          <w:tcPr>
            <w:tcW w:w="9360" w:type="dxa"/>
            <w:gridSpan w:val="2"/>
            <w:shd w:val="clear" w:fill="ECFBF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/>
            <w:r>
              <w:rPr>
                <w:b/>
                <w:color w:val="0C7E6B"/>
                <w:sz w:val="22"/>
                <w:rFonts w:ascii="Sora" w:hAnsi="Sora"/>
              </w:rPr>
              <w:t xml:space="preserve">Reusable Components (18)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Core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Button, IconButton, Badge, StatusBadge, Tag, Avatar, Card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Forms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Input, Textarea, Select, Checkbox, Switch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Data display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JobCard, CompanyCard, StatCard, Tabs, ProgressTracker, EmptyState</w:t>
            </w:r>
          </w:p>
        </w:tc>
      </w:tr>
      <w:tr>
        <w:tc>
          <w:tcPr>
            <w:tcW w:w="9360" w:type="dxa"/>
            <w:gridSpan w:val="2"/>
            <w:shd w:val="clear" w:fill="ECFBF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/>
            <w:r>
              <w:rPr>
                <w:b/>
                <w:color w:val="0C7E6B"/>
                <w:sz w:val="22"/>
                <w:rFonts w:ascii="Sora" w:hAnsi="Sora"/>
              </w:rPr>
              <w:t xml:space="preserve">Public Website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Home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Hero search, popular chips, top-employer logo carousel, categories, featured jobs &amp; companies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Job search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Keyword / location / category / company / work-mode filters with removable chips &amp; sorting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Job detail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Full posting, key facts, sticky apply card, similar jobs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Apply flow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Apply modal with résumé attach, cover note &amp; success state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Authentication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Login, Register (candidate/employer), Google &amp; Facebook sign-in, forgot-password / reset flow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Promotional banners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Multiple stacked, scheduled banners with image background, upload &amp; fit controls</w:t>
            </w:r>
          </w:p>
        </w:tc>
      </w:tr>
      <w:tr>
        <w:tc>
          <w:tcPr>
            <w:tcW w:w="9360" w:type="dxa"/>
            <w:gridSpan w:val="2"/>
            <w:shd w:val="clear" w:fill="ECFBF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/>
            <w:r>
              <w:rPr>
                <w:b/>
                <w:color w:val="0C7E6B"/>
                <w:sz w:val="22"/>
                <w:rFonts w:ascii="Sora" w:hAnsi="Sora"/>
              </w:rPr>
              <w:t xml:space="preserve">Candidate Dashboard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Overview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Stat cards, recent applications with live pipeline tracker, AI recommendations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Applications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Tabbed tracker across the hiring pipeline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Saved jobs · Résumé builder · Profile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Saved list, full résumé builder, editable profile</w:t>
            </w:r>
          </w:p>
        </w:tc>
      </w:tr>
      <w:tr>
        <w:tc>
          <w:tcPr>
            <w:tcW w:w="9360" w:type="dxa"/>
            <w:gridSpan w:val="2"/>
            <w:shd w:val="clear" w:fill="ECFBF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/>
            <w:r>
              <w:rPr>
                <w:b/>
                <w:color w:val="0C7E6B"/>
                <w:sz w:val="22"/>
                <w:rFonts w:ascii="Sora" w:hAnsi="Sora"/>
              </w:rPr>
              <w:t xml:space="preserve">Employer Dashboard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Overview &amp; jobs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KPI metrics + job-postings management table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Applicant tracking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Kanban pipeline: Applied → Reviewed → Shortlisted → Interview → Offered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Company profile · Billing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Company profile form, plans (Free/Standard/Premium) &amp; invoice history</w:t>
            </w:r>
          </w:p>
        </w:tc>
      </w:tr>
      <w:tr>
        <w:tc>
          <w:tcPr>
            <w:tcW w:w="9360" w:type="dxa"/>
            <w:gridSpan w:val="2"/>
            <w:shd w:val="clear" w:fill="ECFBF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/>
            <w:r>
              <w:rPr>
                <w:b/>
                <w:color w:val="0C7E6B"/>
                <w:sz w:val="22"/>
                <w:rFonts w:ascii="Sora" w:hAnsi="Sora"/>
              </w:rPr>
              <w:t xml:space="preserve">Admin Console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Overview &amp; approvals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KPIs, monthly chart, job approval queue with bulk actions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Users &amp; roles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All users in one place, 4 roles, 21 permissions, permission matrix &amp; editor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Management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Companies, candidates, categories, reports, promotional banner manager</w:t>
            </w:r>
          </w:p>
        </w:tc>
      </w:tr>
      <w:tr>
        <w:tc>
          <w:tcPr>
            <w:tcW w:w="9360" w:type="dxa"/>
            <w:gridSpan w:val="2"/>
            <w:shd w:val="clear" w:fill="ECFBF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/>
            <w:r>
              <w:rPr>
                <w:b/>
                <w:color w:val="0C7E6B"/>
                <w:sz w:val="22"/>
                <w:rFonts w:ascii="Sora" w:hAnsi="Sora"/>
              </w:rPr>
              <w:t xml:space="preserve">Engineering Handoff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MySQL database schema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Full schema (users, RBAC, jobs, applications, résumés, plans, payments, banners, audit logs) + seed data</w:t>
            </w:r>
          </w:p>
        </w:tc>
      </w:tr>
      <w:tr>
        <w:tc>
          <w:tcPr>
            <w:tcW w:w="300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Overview deck</w:t>
            </w:r>
          </w:p>
        </w:tc>
        <w:tc>
          <w:tcPr>
            <w:tcW w:w="6360" w:type="dxa"/>
            <w:shd w:val="clear" w:fill="F8F8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Editable PPTX presentation of the design system</w:t>
            </w:r>
          </w:p>
        </w:tc>
      </w:tr>
      <w:tr>
        <w:tc>
          <w:tcPr>
            <w:tcW w:w="300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b/>
                <w:color w:val="0C7E6B"/>
                <w:sz w:val="22"/>
              </w:rPr>
              <w:t xml:space="preserve">✓  </w:t>
            </w:r>
            <w:r>
              <w:rPr>
                <w:b/>
                <w:color w:val="1C1B17"/>
                <w:sz w:val="21"/>
              </w:rPr>
              <w:t xml:space="preserve">Skill package</w:t>
            </w:r>
          </w:p>
        </w:tc>
        <w:tc>
          <w:tcPr>
            <w:tcW w:w="6360" w:type="dxa"/>
            <w:shd w:val="clear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>
                <w:color w:val="5C594F"/>
                <w:sz w:val="21"/>
              </w:rPr>
              <w:t xml:space="preserve">Portable SKILL.md + README for reuse</w:t>
            </w:r>
          </w:p>
        </w:tc>
      </w:tr>
    </w:tbl>
    <w:p>
      <w:pPr>
        <w:spacing w:after="80"/>
      </w:pPr>
      <w:r>
        <w:rPr/>
        <w:t xml:space="preserve"/>
      </w:r>
    </w:p>
    <w:tbl>
      <w:tblPr>
        <w:tblW w:w="9360" w:type="dxa"/>
        <w:tblLayout w:type="fixed"/>
        <w:jc w:val="right"/>
      </w:tblPr>
      <w:tblGrid>
        <w:gridCol w:w="6360"/>
        <w:gridCol w:w="3000"/>
      </w:tblGrid>
      <w:tr>
        <w:tc>
          <w:tcPr>
            <w:tcW w:w="63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color w:val="5C594F"/>
                <w:sz w:val="22"/>
              </w:rPr>
              <w:t xml:space="preserve">Subtotal</w:t>
            </w:r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C1B17"/>
                <w:sz w:val="22"/>
                <w:rFonts w:ascii="Sora" w:hAnsi="Sora"/>
              </w:rPr>
              <w:t xml:space="preserve">USD 1,050.00</w:t>
            </w:r>
          </w:p>
        </w:tc>
      </w:tr>
      <w:tr>
        <w:tc>
          <w:tcPr>
            <w:tcW w:w="63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color w:val="5C594F"/>
                <w:sz w:val="22"/>
              </w:rPr>
              <w:t xml:space="preserve">Discount</w:t>
            </w:r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C1B17"/>
                <w:sz w:val="22"/>
                <w:rFonts w:ascii="Sora" w:hAnsi="Sora"/>
              </w:rPr>
              <w:t xml:space="preserve">USD 0.00</w:t>
            </w:r>
          </w:p>
        </w:tc>
      </w:tr>
      <w:tr>
        <w:tc>
          <w:tcPr>
            <w:tcW w:w="6360" w:type="dxa"/>
            <w:shd w:val="clear" w:fill="0C7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C1B17"/>
                <w:sz w:val="26"/>
                <w:rFonts w:ascii="Sora" w:hAnsi="Sora"/>
              </w:rPr>
              <w:t xml:space="preserve">Total</w:t>
            </w:r>
          </w:p>
        </w:tc>
        <w:tc>
          <w:tcPr>
            <w:tcW w:w="3000" w:type="dxa"/>
            <w:shd w:val="clear" w:fill="0C7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FFFFFF"/>
                <w:sz w:val="30"/>
                <w:rFonts w:ascii="Sora" w:hAnsi="Sora"/>
              </w:rPr>
              <w:t xml:space="preserve">USD 1,050.00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20"/>
      </w:pPr>
      <w:r>
        <w:rPr>
          <w:b/>
          <w:color w:val="1C1B17"/>
          <w:sz w:val="24"/>
          <w:rFonts w:ascii="Sora" w:hAnsi="Sora"/>
        </w:rPr>
        <w:t xml:space="preserve">Notes</w:t>
      </w:r>
    </w:p>
    <w:p>
      <w:pPr>
        <w:spacing w:after="20"/>
      </w:pPr>
      <w:r>
        <w:rPr>
          <w:color w:val="5C594F"/>
          <w:sz w:val="21"/>
        </w:rPr>
        <w:t xml:space="preserve">• One-time fixed price of USD 1,050 for the complete design system and four product surfaces as listed above.</w:t>
      </w:r>
    </w:p>
    <w:p>
      <w:pPr>
        <w:spacing w:after="20"/>
      </w:pPr>
      <w:r>
        <w:rPr>
          <w:color w:val="5C594F"/>
          <w:sz w:val="21"/>
        </w:rPr>
        <w:t xml:space="preserve">• Includes source files (HTML/React components, design tokens) and the MySQL database schema.</w:t>
      </w:r>
    </w:p>
    <w:p>
      <w:pPr>
        <w:spacing w:after="200"/>
      </w:pPr>
      <w:r>
        <w:rPr>
          <w:color w:val="5C594F"/>
          <w:sz w:val="21"/>
        </w:rPr>
        <w:t xml:space="preserve">• Backend API implementation, hosting, and third-party service fees (payments, email, storage) are not included.</w:t>
      </w:r>
    </w:p>
    <w:p>
      <w:pPr>
        <w:jc w:val="center"/>
      </w:pPr>
      <w:r>
        <w:rPr>
          <w:b/>
          <w:color w:val="0C7E6B"/>
          <w:sz w:val="20"/>
        </w:rPr>
        <w:t xml:space="preserve">Krama Design System</w:t>
      </w:r>
      <w:r>
        <w:rPr>
          <w:color w:val="5C594F"/>
          <w:sz w:val="20"/>
        </w:rPr>
        <w:t xml:space="preserve">   ·   Thank you for your business.</w:t>
      </w:r>
    </w:p>
    <w:sectPr>
      <w:pgSz w:w="11906" w:h="16838"/>
      <w:pgMar w:top="1100" w:right="1200" w:bottom="1100" w:left="12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Plus Jakarta Sans" w:hAnsi="Plus Jakarta Sans" w:cs="Plus Jakarta Sans"/>
        <w:sz w:val="22"/>
        <w:szCs w:val="22"/>
        <w:color w:val="5C594F"/>
      </w:rPr>
    </w:rPrDefault>
  </w:docDefaults>
  <w:style w:type="paragraph" w:default="1" w:styleId="Normal">
    <w:name w:val="Normal"/>
    <w:pPr>
      <w:spacing w:after="60" w:line="276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